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50834A54" w14:textId="77777777" w:rsidR="002A2A46" w:rsidRPr="0008461C" w:rsidRDefault="00C01245">
      <w:pPr>
        <w:pStyle w:val="Corpodetexto"/>
        <w:spacing w:after="0" w:line="360" w:lineRule="auto"/>
        <w:jc w:val="both"/>
        <w:rPr>
          <w:rFonts w:hint="eastAsia"/>
        </w:rPr>
      </w:pPr>
      <w:r w:rsidRPr="008E403D">
        <w:rPr>
          <w:rFonts w:ascii="Times New Roman" w:hAnsi="Times New Roman"/>
          <w:b/>
          <w:bCs/>
          <w:highlight w:val="white"/>
        </w:rPr>
        <w:t>1 INTRODUÇÃO</w:t>
      </w:r>
    </w:p>
    <w:p w14:paraId="57C75041" w14:textId="77777777" w:rsidR="002A2A46" w:rsidRPr="008E403D" w:rsidRDefault="002A2A46">
      <w:pPr>
        <w:pStyle w:val="Corpodetexto"/>
        <w:spacing w:after="0" w:line="360" w:lineRule="auto"/>
        <w:ind w:firstLine="850"/>
        <w:jc w:val="both"/>
        <w:rPr>
          <w:rFonts w:ascii="Times New Roman" w:hAnsi="Times New Roman"/>
          <w:highlight w:val="white"/>
        </w:rPr>
      </w:pPr>
    </w:p>
    <w:p w14:paraId="145EC25B" w14:textId="77777777" w:rsidR="002A2A46" w:rsidRPr="0008461C" w:rsidRDefault="00C01245">
      <w:pPr>
        <w:spacing w:line="360" w:lineRule="auto"/>
        <w:ind w:firstLine="850"/>
        <w:jc w:val="both"/>
        <w:rPr>
          <w:rFonts w:hint="eastAsia"/>
        </w:rPr>
      </w:pPr>
      <w:r w:rsidRPr="008E403D">
        <w:rPr>
          <w:rFonts w:ascii="Times New Roman" w:hAnsi="Times New Roman"/>
          <w:highlight w:val="white"/>
          <w:lang w:val="en-US"/>
        </w:rPr>
        <w:t xml:space="preserve">Os direitos sociais têm sido enunciados em Constituições Nacionais ao redor do mundo a partir do final do Século XIX e início do Século XX, com implicações notáveis sobre a Administração Pública. No entanto, </w:t>
      </w:r>
      <w:r w:rsidRPr="008E403D">
        <w:rPr>
          <w:rFonts w:ascii="Times New Roman" w:hAnsi="Times New Roman"/>
          <w:highlight w:val="white"/>
        </w:rPr>
        <w:t>não é suficiente a atividade normativo-reguladora estatal, havendo igual necessidade de instrumentos assecuratórios que permitam constante vigilância quanto à sua implementação no plano da realidade social, âmbito no qual sua consecução é efetivamente nece</w:t>
      </w:r>
      <w:r w:rsidRPr="008E403D">
        <w:rPr>
          <w:rFonts w:ascii="Times New Roman" w:hAnsi="Times New Roman"/>
          <w:highlight w:val="white"/>
        </w:rPr>
        <w:t>ssária.</w:t>
      </w:r>
    </w:p>
    <w:p w14:paraId="1252D063"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t xml:space="preserve">A enunciação de direitos sociais é, assim, apenas uma das responsabilidades atribuídas ao Estado e os instrumentos de sua concretização estão intimamente relacionados com a nova proposta normativa constitucional e atuação renovada das instituições </w:t>
      </w:r>
      <w:r w:rsidRPr="008E403D">
        <w:rPr>
          <w:rFonts w:ascii="Times New Roman" w:hAnsi="Times New Roman"/>
          <w:highlight w:val="white"/>
        </w:rPr>
        <w:t>de controle externo da Administração Pública, com destaque ao Poder Judiciário e, necessariamente, às instituições legitimadas para provocar a sua atuação.</w:t>
      </w:r>
    </w:p>
    <w:p w14:paraId="0E1129B4" w14:textId="615CB8AE" w:rsidR="002A2A46" w:rsidRPr="0008461C" w:rsidRDefault="00C01245">
      <w:pPr>
        <w:spacing w:line="360" w:lineRule="auto"/>
        <w:ind w:firstLine="850"/>
        <w:jc w:val="both"/>
        <w:rPr>
          <w:rFonts w:hint="eastAsia"/>
        </w:rPr>
      </w:pPr>
      <w:r w:rsidRPr="008E403D">
        <w:rPr>
          <w:rFonts w:ascii="Times New Roman" w:hAnsi="Times New Roman"/>
          <w:highlight w:val="white"/>
        </w:rPr>
        <w:t>A realização das finalidades públicas passa pela exigência de organização eficiente da atividade adm</w:t>
      </w:r>
      <w:r w:rsidRPr="008E403D">
        <w:rPr>
          <w:rFonts w:ascii="Times New Roman" w:hAnsi="Times New Roman"/>
          <w:highlight w:val="white"/>
        </w:rPr>
        <w:t xml:space="preserve">inistrativa, com a ênfase na noção contemporânea de boa governança, cuja noção é mais ampla que a de mera “boa administração”, do ponto de vista tradicional, que tem cunho relacionado ao viés financeiro. A constatação do vínculo estreito, que existe entre </w:t>
      </w:r>
      <w:r w:rsidRPr="008E403D">
        <w:rPr>
          <w:rFonts w:ascii="Times New Roman" w:hAnsi="Times New Roman"/>
          <w:highlight w:val="white"/>
        </w:rPr>
        <w:t>direitos sociais e boa governança, esta que é essencial para serem alcançados aqueles, sustenta o reconhecimento do direito à boa governança</w:t>
      </w:r>
      <w:r w:rsidRPr="008E403D">
        <w:rPr>
          <w:rFonts w:ascii="Times New Roman" w:hAnsi="Times New Roman"/>
          <w:highlight w:val="white"/>
        </w:rPr>
        <w:t xml:space="preserve"> como integrante ele próprio do rol dos direitos fundamentais sociais.</w:t>
      </w:r>
    </w:p>
    <w:p w14:paraId="437999A9" w14:textId="3D25DC21" w:rsidR="002A2A46" w:rsidRPr="0008461C" w:rsidRDefault="00C01245">
      <w:pPr>
        <w:spacing w:line="360" w:lineRule="auto"/>
        <w:ind w:firstLine="850"/>
        <w:jc w:val="both"/>
        <w:rPr>
          <w:rFonts w:hint="eastAsia"/>
        </w:rPr>
      </w:pPr>
      <w:r w:rsidRPr="008E403D">
        <w:rPr>
          <w:rFonts w:ascii="Times New Roman" w:hAnsi="Times New Roman"/>
          <w:highlight w:val="white"/>
        </w:rPr>
        <w:t>Como todo direito fundamental, a ênfase na b</w:t>
      </w:r>
      <w:r w:rsidRPr="008E403D">
        <w:rPr>
          <w:rFonts w:ascii="Times New Roman" w:hAnsi="Times New Roman"/>
          <w:highlight w:val="white"/>
        </w:rPr>
        <w:t>oa governança pressupõe também meios de controle e proteção</w:t>
      </w:r>
      <w:r w:rsidRPr="008E403D">
        <w:rPr>
          <w:rFonts w:ascii="Times New Roman" w:hAnsi="Times New Roman"/>
          <w:highlight w:val="white"/>
        </w:rPr>
        <w:t xml:space="preserve"> contra as iniciativas que se afastem desse contexto organizador da atividade pública. No sistema constitucional brasileiro, o controle externo da atividade administrativa (também do ponto de vist</w:t>
      </w:r>
      <w:r w:rsidRPr="008E403D">
        <w:rPr>
          <w:rFonts w:ascii="Times New Roman" w:hAnsi="Times New Roman"/>
          <w:highlight w:val="white"/>
        </w:rPr>
        <w:t>a da boa governança) encontra no Ministério Público atuação singular por seu caráter ambivalente e, também, por deter atribuições exclusivas. Atua, com efeito, tanto em âmbito extrajudicial quanto judicial, sendo que neste último ainda acumula legitimidade</w:t>
      </w:r>
      <w:r w:rsidRPr="008E403D">
        <w:rPr>
          <w:rFonts w:ascii="Times New Roman" w:hAnsi="Times New Roman"/>
          <w:highlight w:val="white"/>
        </w:rPr>
        <w:t xml:space="preserve"> privativa para a ação penal pública, concomitantemente à legitimação concorrente de outros entes para providências reparadoras e repressivas de ordem cível, as quais serão mais adiante mencionadas.</w:t>
      </w:r>
    </w:p>
    <w:p w14:paraId="2B08B5DF" w14:textId="77777777" w:rsidR="002A2A46" w:rsidRPr="0008461C" w:rsidRDefault="00C01245">
      <w:pPr>
        <w:spacing w:line="360" w:lineRule="auto"/>
        <w:ind w:firstLine="850"/>
        <w:jc w:val="both"/>
        <w:rPr>
          <w:rFonts w:hint="eastAsia"/>
        </w:rPr>
      </w:pPr>
      <w:r w:rsidRPr="008E403D">
        <w:rPr>
          <w:rFonts w:ascii="Times New Roman" w:hAnsi="Times New Roman"/>
          <w:highlight w:val="white"/>
          <w:lang w:val="en-US"/>
        </w:rPr>
        <w:t>Devido a esta conformação e ainda pelas múltiplas iniciat</w:t>
      </w:r>
      <w:r w:rsidRPr="008E403D">
        <w:rPr>
          <w:rFonts w:ascii="Times New Roman" w:hAnsi="Times New Roman"/>
          <w:highlight w:val="white"/>
          <w:lang w:val="en-US"/>
        </w:rPr>
        <w:t>ivas que o legitimam a reclamar cumprimento do direito fundamental à boa governança, o Ministério Público se apresenta indissociavelmente atrelado ao controle externo perante o atual cenário normativo e este controle é muito relevante para que a boa govern</w:t>
      </w:r>
      <w:r w:rsidRPr="008E403D">
        <w:rPr>
          <w:rFonts w:ascii="Times New Roman" w:hAnsi="Times New Roman"/>
          <w:highlight w:val="white"/>
          <w:lang w:val="en-US"/>
        </w:rPr>
        <w:t>ança aconteça no plano concreto.</w:t>
      </w:r>
    </w:p>
    <w:p w14:paraId="0835FED0" w14:textId="77777777" w:rsidR="002A2A46" w:rsidRPr="0008461C" w:rsidRDefault="00C01245">
      <w:pPr>
        <w:spacing w:line="360" w:lineRule="auto"/>
        <w:ind w:firstLine="850"/>
        <w:jc w:val="both"/>
        <w:rPr>
          <w:rFonts w:hint="eastAsia"/>
        </w:rPr>
      </w:pPr>
      <w:r w:rsidRPr="008E403D">
        <w:rPr>
          <w:rFonts w:ascii="Times New Roman" w:hAnsi="Times New Roman"/>
          <w:highlight w:val="white"/>
          <w:lang w:val="en-US"/>
        </w:rPr>
        <w:t>Valendo-se do método hipotético-dedutivo e revisão normativa e bibliográfica, o presente texto perscruta, nos limites próprios à categoria da produção de artigo científico, a relação de essencialidade entre a posição singul</w:t>
      </w:r>
      <w:r w:rsidRPr="008E403D">
        <w:rPr>
          <w:rFonts w:ascii="Times New Roman" w:hAnsi="Times New Roman"/>
          <w:highlight w:val="white"/>
          <w:lang w:val="en-US"/>
        </w:rPr>
        <w:t>ar ministerial no ordenamento em vigor para o controle externo da Administração Pública e o imperativo fundamental de boa governança.</w:t>
      </w:r>
    </w:p>
    <w:p w14:paraId="1A7D1A07" w14:textId="77777777" w:rsidR="002A2A46" w:rsidRPr="0008461C" w:rsidRDefault="00C01245">
      <w:pPr>
        <w:spacing w:line="360" w:lineRule="auto"/>
        <w:ind w:firstLine="850"/>
        <w:jc w:val="both"/>
        <w:rPr>
          <w:rFonts w:hint="eastAsia"/>
        </w:rPr>
      </w:pPr>
      <w:r w:rsidRPr="008E403D">
        <w:rPr>
          <w:rFonts w:ascii="Times New Roman" w:hAnsi="Times New Roman"/>
          <w:highlight w:val="white"/>
          <w:lang w:val="en-US"/>
        </w:rPr>
        <w:lastRenderedPageBreak/>
        <w:t>O tema é de destacada importância à medida que o reconhecimento da singularidade da atuação do Ministério Público para o c</w:t>
      </w:r>
      <w:r w:rsidRPr="008E403D">
        <w:rPr>
          <w:rFonts w:ascii="Times New Roman" w:hAnsi="Times New Roman"/>
          <w:highlight w:val="white"/>
          <w:lang w:val="en-US"/>
        </w:rPr>
        <w:t>ontrole externo da Administração Pública aponta à sua integração como elemento próprio da afirmação do direito à boa governança no direito brasileiro, com as consequências daí decorrentes.</w:t>
      </w:r>
    </w:p>
    <w:p w14:paraId="4C5C3551" w14:textId="77777777" w:rsidR="002A2A46" w:rsidRPr="008E403D" w:rsidRDefault="002A2A46">
      <w:pPr>
        <w:pStyle w:val="Corpodetexto"/>
        <w:spacing w:after="0" w:line="360" w:lineRule="auto"/>
        <w:ind w:firstLine="850"/>
        <w:jc w:val="both"/>
        <w:rPr>
          <w:rFonts w:ascii="Times New Roman" w:hAnsi="Times New Roman"/>
          <w:b/>
          <w:bCs/>
          <w:highlight w:val="white"/>
        </w:rPr>
      </w:pPr>
    </w:p>
    <w:p w14:paraId="087635CD" w14:textId="77777777" w:rsidR="002A2A46" w:rsidRPr="0008461C" w:rsidRDefault="00C01245">
      <w:pPr>
        <w:pStyle w:val="Corpodetexto"/>
        <w:spacing w:after="0" w:line="360" w:lineRule="auto"/>
        <w:jc w:val="both"/>
        <w:rPr>
          <w:rFonts w:hint="eastAsia"/>
        </w:rPr>
      </w:pPr>
      <w:r w:rsidRPr="008E403D">
        <w:rPr>
          <w:rFonts w:ascii="Times New Roman" w:hAnsi="Times New Roman"/>
          <w:b/>
          <w:bCs/>
          <w:highlight w:val="white"/>
        </w:rPr>
        <w:t>2 AFIRMAÇÃO HISTÓRICA DO DIREITO FUNDAMENTAL À BOA GOVERNANÇA E ES</w:t>
      </w:r>
      <w:r w:rsidRPr="008E403D">
        <w:rPr>
          <w:rFonts w:ascii="Times New Roman" w:hAnsi="Times New Roman"/>
          <w:b/>
          <w:bCs/>
          <w:highlight w:val="white"/>
        </w:rPr>
        <w:t>SENCIALIDADE DE MECANISMOS DE PROTEÇÃO</w:t>
      </w:r>
    </w:p>
    <w:p w14:paraId="39FAB6FD" w14:textId="77777777" w:rsidR="002A2A46" w:rsidRPr="008E403D" w:rsidRDefault="002A2A46">
      <w:pPr>
        <w:spacing w:line="360" w:lineRule="auto"/>
        <w:ind w:firstLine="850"/>
        <w:jc w:val="both"/>
        <w:rPr>
          <w:rFonts w:ascii="Times New Roman" w:hAnsi="Times New Roman"/>
          <w:highlight w:val="white"/>
          <w:lang w:val="en-US"/>
        </w:rPr>
      </w:pPr>
    </w:p>
    <w:p w14:paraId="624AE69E" w14:textId="77777777" w:rsidR="002A2A46" w:rsidRPr="0008461C" w:rsidRDefault="00C01245">
      <w:pPr>
        <w:spacing w:line="360" w:lineRule="auto"/>
        <w:ind w:firstLine="850"/>
        <w:jc w:val="both"/>
        <w:rPr>
          <w:rFonts w:hint="eastAsia"/>
        </w:rPr>
      </w:pPr>
      <w:r w:rsidRPr="008E403D">
        <w:rPr>
          <w:rFonts w:ascii="Times New Roman" w:hAnsi="Times New Roman"/>
          <w:highlight w:val="white"/>
          <w:lang w:val="en-US"/>
        </w:rPr>
        <w:t xml:space="preserve">Apesar de hoje terem presença em grande parte dos textos constitucionais, no mundo, os chamados direitos sociais, como subcategoria dos direitos fundamentais, foram sabidamente reconhecidos especialmente a partir do </w:t>
      </w:r>
      <w:r w:rsidRPr="008E403D">
        <w:rPr>
          <w:rFonts w:ascii="Times New Roman" w:hAnsi="Times New Roman"/>
          <w:highlight w:val="white"/>
          <w:lang w:val="en-US"/>
        </w:rPr>
        <w:t>final do Século XIX e início do Século XX, com previsão em diferentes Estados Nacionais, dentre as quais podem ser aqui mencionadas a Constituição Mexicana de 1917 e a Constituição de Weimar de 1919 (BREGA FILHO, 2013, p. 104).</w:t>
      </w:r>
    </w:p>
    <w:p w14:paraId="6E7E2C03"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t>Em razão de seu conteúdo var</w:t>
      </w:r>
      <w:r w:rsidRPr="008E403D">
        <w:rPr>
          <w:rFonts w:ascii="Times New Roman" w:hAnsi="Times New Roman"/>
          <w:highlight w:val="white"/>
        </w:rPr>
        <w:t>iado, os direitos sociais assumem diferentes faces na relação dos indivíduos com o Estado, ora exigindo-se prestações públicas positivas (como a implementação de serviços de saúde ou educação), ora atividades reguladoras das relações entre entes privados (</w:t>
      </w:r>
      <w:r w:rsidRPr="008E403D">
        <w:rPr>
          <w:rFonts w:ascii="Times New Roman" w:hAnsi="Times New Roman"/>
          <w:highlight w:val="white"/>
        </w:rPr>
        <w:t>como a regulação das relações de trabalho), ora exigindo abstenção (como a ausência de restrição ao direito de greve, reforçando os meios pelos quais os trabalhadores devam reclamar a concretização dos direitos assegurados, na vida real) (NUNES JÚNIOR, 200</w:t>
      </w:r>
      <w:r w:rsidRPr="008E403D">
        <w:rPr>
          <w:rFonts w:ascii="Times New Roman" w:hAnsi="Times New Roman"/>
          <w:highlight w:val="white"/>
        </w:rPr>
        <w:t>9, p. 63).</w:t>
      </w:r>
    </w:p>
    <w:p w14:paraId="796B6F84"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t>Entre suas características, em primeiro lugar deve-se apontar a natureza de direitos fundamentais, como, aliás, evidencia sua relação com a implementação do chamado “mínimo vital”, necessário para preservação de outros direitos fundamentais (com</w:t>
      </w:r>
      <w:r w:rsidRPr="008E403D">
        <w:rPr>
          <w:rFonts w:ascii="Times New Roman" w:hAnsi="Times New Roman"/>
          <w:highlight w:val="white"/>
        </w:rPr>
        <w:t>o as condições necessárias ao exercício da liberdade política, por exemplo), razão pela qual se conclui que “não se pode pensar em exercício de liberdades, de preservação da dignidade humana, enfim, de direitos intrínsecos ao ser humano, sem que um ‘mínimo</w:t>
      </w:r>
      <w:r w:rsidRPr="008E403D">
        <w:rPr>
          <w:rFonts w:ascii="Times New Roman" w:hAnsi="Times New Roman"/>
          <w:highlight w:val="white"/>
        </w:rPr>
        <w:t xml:space="preserve"> vital’ esteja garantido caudatariamente à vida em sociedade” (NUNES JÚNIOR, 2009, p. 65). </w:t>
      </w:r>
    </w:p>
    <w:p w14:paraId="29A201AE"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t>Isso não quer associar o raciocínio de que qualquer direito social só se afirme à medida em que diga respeito ao mínimo vital, mas aponta que ao menos esse último c</w:t>
      </w:r>
      <w:r w:rsidRPr="008E403D">
        <w:rPr>
          <w:rFonts w:ascii="Times New Roman" w:hAnsi="Times New Roman"/>
          <w:highlight w:val="white"/>
        </w:rPr>
        <w:t>orresponde aos direitos sociais; e se defende que não se pode falar em proteção a direitos fundamentais sem a proteção de correlatos direitos sociais, dando o exemplo emblemático da proteção da vida, que não se encerra na proibição de “matar alguém”, mas t</w:t>
      </w:r>
      <w:r w:rsidRPr="008E403D">
        <w:rPr>
          <w:rFonts w:ascii="Times New Roman" w:hAnsi="Times New Roman"/>
          <w:highlight w:val="white"/>
        </w:rPr>
        <w:t>ambém por meio da promoção mínima de serviços de saúde. Por isso, ao menos no que diz respeito ao mínimo vital, direitos sociais seriam equivalentes aos direitos de liberdade.</w:t>
      </w:r>
    </w:p>
    <w:p w14:paraId="47274B40"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lastRenderedPageBreak/>
        <w:t>Em segundo lugar, há uma correspondência à temática da igualdade material, que s</w:t>
      </w:r>
      <w:r w:rsidRPr="008E403D">
        <w:rPr>
          <w:rFonts w:ascii="Times New Roman" w:hAnsi="Times New Roman"/>
          <w:highlight w:val="white"/>
        </w:rPr>
        <w:t>e soma à liberdade individual clássica assinalada na primeira enunciação de direitos fundamentais. Aponta-se que direitos sociais correspondem à aspiração ética de maior participação das pessoas nas benesses da vida social (que são desigualmente distribuíd</w:t>
      </w:r>
      <w:r w:rsidRPr="008E403D">
        <w:rPr>
          <w:rFonts w:ascii="Times New Roman" w:hAnsi="Times New Roman"/>
          <w:highlight w:val="white"/>
        </w:rPr>
        <w:t>as).</w:t>
      </w:r>
    </w:p>
    <w:p w14:paraId="497EA453" w14:textId="77777777" w:rsidR="002A2A46" w:rsidRPr="008E403D" w:rsidRDefault="00C01245">
      <w:pPr>
        <w:spacing w:line="360" w:lineRule="auto"/>
        <w:ind w:firstLine="850"/>
        <w:jc w:val="both"/>
        <w:rPr>
          <w:rFonts w:ascii="Times New Roman" w:hAnsi="Times New Roman"/>
          <w:highlight w:val="white"/>
        </w:rPr>
      </w:pPr>
      <w:r w:rsidRPr="008E403D">
        <w:rPr>
          <w:rFonts w:ascii="Times New Roman" w:hAnsi="Times New Roman"/>
          <w:highlight w:val="white"/>
        </w:rPr>
        <w:t>Em terceiro lugar, nota-se que todos os direitos sociais estão relacionados ao Estado, de modo subjetivo (constituindo prerrogativas de todo cidadão na vida em sociedade) ou objetivo (atinentes à função moderadora e reguladora das relações sociais, qu</w:t>
      </w:r>
      <w:r w:rsidRPr="008E403D">
        <w:rPr>
          <w:rFonts w:ascii="Times New Roman" w:hAnsi="Times New Roman"/>
          <w:highlight w:val="white"/>
        </w:rPr>
        <w:t>e o Estado desenvolve por meio das normas dirigidas à proteção desses direitos).</w:t>
      </w:r>
    </w:p>
    <w:p w14:paraId="1A72E856" w14:textId="77777777" w:rsidR="002A2A46" w:rsidRPr="008E403D" w:rsidRDefault="00C01245">
      <w:pPr>
        <w:spacing w:line="360" w:lineRule="auto"/>
        <w:ind w:firstLine="850"/>
        <w:jc w:val="both"/>
        <w:rPr>
          <w:rFonts w:ascii="Times New Roman" w:hAnsi="Times New Roman"/>
          <w:highlight w:val="white"/>
        </w:rPr>
      </w:pPr>
      <w:r w:rsidRPr="008E403D">
        <w:rPr>
          <w:rFonts w:ascii="Times New Roman" w:hAnsi="Times New Roman"/>
          <w:highlight w:val="white"/>
        </w:rPr>
        <w:t>Assim, apresentam-se os direitos sociais sob as perspectivas de: a) direitos subjetivos (como o direito à Educação ou à Saúde); b) atividades normativo-reguladoras do Estado (</w:t>
      </w:r>
      <w:r w:rsidRPr="008E403D">
        <w:rPr>
          <w:rFonts w:ascii="Times New Roman" w:hAnsi="Times New Roman"/>
          <w:highlight w:val="white"/>
        </w:rPr>
        <w:t>como nas relações de trabalho); c) instrumentos assecuratórios (os direitos sociais devem envolver mecanismos que permitam aos indivíduos defender seus interesses, como a greve) (NUNES JÚNIOR, 2009, p. 68 e seguintes).</w:t>
      </w:r>
    </w:p>
    <w:p w14:paraId="4547D919"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t>Como se percebe, a enunciação de dire</w:t>
      </w:r>
      <w:r w:rsidRPr="008E403D">
        <w:rPr>
          <w:rFonts w:ascii="Times New Roman" w:hAnsi="Times New Roman"/>
          <w:highlight w:val="white"/>
        </w:rPr>
        <w:t>itos subjetivos é apenas uma das responsabilidades atribuídas ao Estado no que diz respeito à proteção de direitos fundamentais de cunho social. O tema passa também necessariamente pelo asseguramento de caráter normativo aos preceitos constitucionais que e</w:t>
      </w:r>
      <w:r w:rsidRPr="008E403D">
        <w:rPr>
          <w:rFonts w:ascii="Times New Roman" w:hAnsi="Times New Roman"/>
          <w:highlight w:val="white"/>
        </w:rPr>
        <w:t xml:space="preserve">stabelecem direitos sociais (com eficácia plena, providos de plena coercitividade) e pela implementação de </w:t>
      </w:r>
      <w:r w:rsidRPr="008E403D">
        <w:rPr>
          <w:rFonts w:ascii="Times New Roman" w:hAnsi="Times New Roman"/>
          <w:i/>
          <w:iCs/>
          <w:highlight w:val="white"/>
        </w:rPr>
        <w:t>instrumentos de correção</w:t>
      </w:r>
      <w:r w:rsidRPr="008E403D">
        <w:rPr>
          <w:rFonts w:ascii="Times New Roman" w:hAnsi="Times New Roman"/>
          <w:highlight w:val="white"/>
        </w:rPr>
        <w:t xml:space="preserve"> de desvios e reafirmação no plano concreto.</w:t>
      </w:r>
    </w:p>
    <w:p w14:paraId="70607436" w14:textId="1E90BC7A" w:rsidR="002A2A46" w:rsidRPr="0008461C" w:rsidRDefault="00C01245">
      <w:pPr>
        <w:spacing w:line="360" w:lineRule="auto"/>
        <w:ind w:firstLine="850"/>
        <w:jc w:val="both"/>
        <w:rPr>
          <w:rFonts w:hint="eastAsia"/>
        </w:rPr>
      </w:pPr>
      <w:r w:rsidRPr="008E403D">
        <w:rPr>
          <w:rFonts w:ascii="Times New Roman" w:hAnsi="Times New Roman"/>
          <w:highlight w:val="white"/>
        </w:rPr>
        <w:t xml:space="preserve">No passado ainda recente do Brasil, aliás, mesmo a Constituição de 1967 </w:t>
      </w:r>
      <w:r w:rsidRPr="008E403D">
        <w:rPr>
          <w:rFonts w:ascii="Times New Roman" w:hAnsi="Times New Roman"/>
          <w:highlight w:val="white"/>
        </w:rPr>
        <w:t>enunciava direitos sociais (artigos 150 e 158), condicionando-os, no entanto, à regulação por lei, como exemplificad</w:t>
      </w:r>
      <w:r w:rsidR="00492D77" w:rsidRPr="008E403D">
        <w:rPr>
          <w:rFonts w:ascii="Times New Roman" w:hAnsi="Times New Roman"/>
          <w:highlight w:val="white"/>
        </w:rPr>
        <w:t>o pel</w:t>
      </w:r>
      <w:r w:rsidRPr="008E403D">
        <w:rPr>
          <w:rFonts w:ascii="Times New Roman" w:hAnsi="Times New Roman"/>
          <w:highlight w:val="white"/>
        </w:rPr>
        <w:t xml:space="preserve">a a organização sindical (artigo 159) (NUNES JÚNIOR, 2009, p. 62-63). Assim configurado, de modo contido ou meramente programático, um </w:t>
      </w:r>
      <w:r w:rsidRPr="008E403D">
        <w:rPr>
          <w:rFonts w:ascii="Times New Roman" w:hAnsi="Times New Roman"/>
          <w:highlight w:val="white"/>
        </w:rPr>
        <w:t>direito social só seria exigível à medida que o legislador o encampasse, podendo conviver no ordenamento, ainda que de modo reprovável, conteúdo constitucional que correspondesse a “letra morta”, diante da falta de assunção do compromisso estatal, com o as</w:t>
      </w:r>
      <w:r w:rsidRPr="008E403D">
        <w:rPr>
          <w:rFonts w:ascii="Times New Roman" w:hAnsi="Times New Roman"/>
          <w:highlight w:val="white"/>
        </w:rPr>
        <w:t>seguramento de meios de realizá-lo.</w:t>
      </w:r>
    </w:p>
    <w:p w14:paraId="3F573D8B" w14:textId="77777777" w:rsidR="002A2A46" w:rsidRPr="0008461C" w:rsidRDefault="00C01245">
      <w:pPr>
        <w:spacing w:line="360" w:lineRule="auto"/>
        <w:ind w:firstLine="850"/>
        <w:jc w:val="both"/>
        <w:rPr>
          <w:rFonts w:hint="eastAsia"/>
        </w:rPr>
      </w:pPr>
      <w:r w:rsidRPr="008E403D">
        <w:rPr>
          <w:rFonts w:ascii="Times New Roman" w:hAnsi="Times New Roman"/>
          <w:highlight w:val="white"/>
        </w:rPr>
        <w:t>Percebe-se, então, que o problema atinente aos direitos sociais ultrapassa de pronto a mera enunciação de direitos fundamentais sociais para conjugar-se, num primeiro giro, à devida revisão hermenêutica de corte neoposit</w:t>
      </w:r>
      <w:r w:rsidRPr="008E403D">
        <w:rPr>
          <w:rFonts w:ascii="Times New Roman" w:hAnsi="Times New Roman"/>
          <w:highlight w:val="white"/>
        </w:rPr>
        <w:t>ivista e neoconstitucionalista que implica admissão de carga normativa ao texto constitucional (decorrendo daí tanto a vinculação da atividade do legislador em sede infraconstitucional, quando a afirmação da sindicabilidade dos atos administrativos do pont</w:t>
      </w:r>
      <w:r w:rsidRPr="008E403D">
        <w:rPr>
          <w:rFonts w:ascii="Times New Roman" w:hAnsi="Times New Roman"/>
          <w:highlight w:val="white"/>
        </w:rPr>
        <w:t>o de vista desses enunciados fundamentais).</w:t>
      </w:r>
    </w:p>
    <w:p w14:paraId="10E0D624" w14:textId="2D614368" w:rsidR="002A2A46" w:rsidRPr="0008461C" w:rsidRDefault="00C01245">
      <w:pPr>
        <w:spacing w:line="360" w:lineRule="auto"/>
        <w:ind w:firstLine="850"/>
        <w:jc w:val="both"/>
        <w:rPr>
          <w:rFonts w:hint="eastAsia"/>
        </w:rPr>
      </w:pPr>
      <w:r w:rsidRPr="008E403D">
        <w:rPr>
          <w:rFonts w:ascii="Times New Roman" w:hAnsi="Times New Roman"/>
          <w:highlight w:val="white"/>
        </w:rPr>
        <w:t>Esse terceiro aspecto acima indicado, que diz respeito à vinculação de direitos sociais com prestações exigíveis, aponta já diretamente à dependência da afirmação de direitos sociais em relação a instrumentos cap</w:t>
      </w:r>
      <w:r w:rsidRPr="008E403D">
        <w:rPr>
          <w:rFonts w:ascii="Times New Roman" w:hAnsi="Times New Roman"/>
          <w:highlight w:val="white"/>
        </w:rPr>
        <w:t>azes de concretizá-los na vida real. Assim, em outra oportunidade (</w:t>
      </w:r>
      <w:r w:rsidR="00DE2653" w:rsidRPr="008E403D">
        <w:rPr>
          <w:rFonts w:ascii="Times New Roman" w:hAnsi="Times New Roman"/>
        </w:rPr>
        <w:t>SANTIN,</w:t>
      </w:r>
      <w:r w:rsidRPr="008E403D">
        <w:rPr>
          <w:rFonts w:ascii="Times New Roman" w:hAnsi="Times New Roman"/>
        </w:rPr>
        <w:t xml:space="preserve"> 2013, </w:t>
      </w:r>
      <w:r w:rsidRPr="008E403D">
        <w:rPr>
          <w:rFonts w:ascii="Times New Roman" w:hAnsi="Times New Roman"/>
        </w:rPr>
        <w:lastRenderedPageBreak/>
        <w:t xml:space="preserve">p. 137-140) </w:t>
      </w:r>
      <w:r w:rsidRPr="008E403D">
        <w:rPr>
          <w:rFonts w:ascii="Times New Roman" w:hAnsi="Times New Roman"/>
          <w:highlight w:val="white"/>
        </w:rPr>
        <w:t>se demonstrou que a realização de direitos sociais está intimamente associada à sindicabilidade e meios de controle externo da Administração, cabendo às inst</w:t>
      </w:r>
      <w:r w:rsidRPr="008E403D">
        <w:rPr>
          <w:rFonts w:ascii="Times New Roman" w:hAnsi="Times New Roman"/>
          <w:highlight w:val="white"/>
        </w:rPr>
        <w:t>âncias controladoras - dentre elas também o poder jurisdicional - atuarem por dever constitucional, na medida em que isso não significa qualquer invasão de atribuições políticas. Caberá, nesse sentido, aos órgãos jurisdicionais brasileiros por dever consti</w:t>
      </w:r>
      <w:r w:rsidRPr="008E403D">
        <w:rPr>
          <w:rFonts w:ascii="Times New Roman" w:hAnsi="Times New Roman"/>
          <w:highlight w:val="white"/>
        </w:rPr>
        <w:t>tucional analisar e interpretar reclamação de descumprimento dos direitos sociais, assim como se dá em relação a qualquer lesão ou ameaça a direito, como estabelece o artigo 5</w:t>
      </w:r>
      <w:r w:rsidRPr="008E403D">
        <w:rPr>
          <w:rFonts w:ascii="Times New Roman" w:hAnsi="Times New Roman"/>
          <w:highlight w:val="white"/>
          <w:vertAlign w:val="superscript"/>
        </w:rPr>
        <w:t>o</w:t>
      </w:r>
      <w:r w:rsidRPr="008E403D">
        <w:rPr>
          <w:rFonts w:ascii="Times New Roman" w:hAnsi="Times New Roman"/>
          <w:highlight w:val="white"/>
        </w:rPr>
        <w:t>, XXXV, da Constituição Federal de 1988.</w:t>
      </w:r>
    </w:p>
    <w:p w14:paraId="1C83D1FC" w14:textId="77777777" w:rsidR="002A2A46" w:rsidRPr="0008461C" w:rsidRDefault="00C01245">
      <w:pPr>
        <w:pStyle w:val="Corpodetexto"/>
        <w:spacing w:after="0" w:line="360" w:lineRule="auto"/>
        <w:ind w:firstLine="850"/>
        <w:jc w:val="both"/>
        <w:rPr>
          <w:rFonts w:hint="eastAsia"/>
        </w:rPr>
      </w:pPr>
      <w:r w:rsidRPr="008E403D">
        <w:rPr>
          <w:rFonts w:ascii="Times New Roman" w:hAnsi="Times New Roman"/>
          <w:highlight w:val="white"/>
        </w:rPr>
        <w:t xml:space="preserve">Paralelamente à mudança de perspectiva </w:t>
      </w:r>
      <w:r w:rsidRPr="008E403D">
        <w:rPr>
          <w:rFonts w:ascii="Times New Roman" w:hAnsi="Times New Roman"/>
          <w:highlight w:val="white"/>
        </w:rPr>
        <w:t>sobre o caráter normativo dos direitos fundamentais, desenvolveu-se uma mudança importante havida na concepção sobre o papel do Estado e sobre a eficiência da gestão pública eficiente, para que seja capaz de alcançar resultados concretos em lugar da dispon</w:t>
      </w:r>
      <w:r w:rsidRPr="008E403D">
        <w:rPr>
          <w:rFonts w:ascii="Times New Roman" w:hAnsi="Times New Roman"/>
          <w:highlight w:val="white"/>
        </w:rPr>
        <w:t>ibilização meramente formal de políticas públicas que não avançam para além da teorização e das proposições abstratas.</w:t>
      </w:r>
    </w:p>
    <w:p w14:paraId="081B7F27" w14:textId="181866D6" w:rsidR="002A2A46" w:rsidRPr="0008461C" w:rsidRDefault="00C01245">
      <w:pPr>
        <w:pStyle w:val="Corpodetexto"/>
        <w:spacing w:after="0" w:line="360" w:lineRule="auto"/>
        <w:ind w:firstLine="850"/>
        <w:jc w:val="both"/>
        <w:rPr>
          <w:rFonts w:hint="eastAsia"/>
        </w:rPr>
      </w:pPr>
      <w:r w:rsidRPr="008E403D">
        <w:rPr>
          <w:rFonts w:ascii="Times New Roman" w:hAnsi="Times New Roman"/>
          <w:highlight w:val="white"/>
        </w:rPr>
        <w:t>Por um ponto de vista, relembra-se que esse fenômeno é acompanhado pelo avanço da globalização e do rearranjo das forças econômicas e pol</w:t>
      </w:r>
      <w:r w:rsidRPr="008E403D">
        <w:rPr>
          <w:rFonts w:ascii="Times New Roman" w:hAnsi="Times New Roman"/>
          <w:highlight w:val="white"/>
        </w:rPr>
        <w:t>íticas mundiais, com novo e importante papel dos conglomerados financeiros, inclusive. O cenário cada vez mais globalizado das últimas décadas representa um desafio histórico ao Estado nacional enquanto detentor tradicional do poder normativo/regulatório d</w:t>
      </w:r>
      <w:r w:rsidRPr="008E403D">
        <w:rPr>
          <w:rFonts w:ascii="Times New Roman" w:hAnsi="Times New Roman"/>
          <w:highlight w:val="white"/>
        </w:rPr>
        <w:t>a vida social, enquanto reflexo do exercício de sua soberania. O pluralismo jurídico se oferece, de consequência, como campo de melhores oportunidades para a apresentação de soluções mais atualizadas às novas tecnologias e relações negociais no mundo globa</w:t>
      </w:r>
      <w:r w:rsidRPr="008E403D">
        <w:rPr>
          <w:rFonts w:ascii="Times New Roman" w:hAnsi="Times New Roman"/>
          <w:highlight w:val="white"/>
        </w:rPr>
        <w:t xml:space="preserve">lizado (sobre o tema do pluralismo jurídico, em sentido semelhante: </w:t>
      </w:r>
      <w:r w:rsidR="00DE2653" w:rsidRPr="008E403D">
        <w:rPr>
          <w:rFonts w:ascii="Times New Roman" w:hAnsi="Times New Roman"/>
          <w:highlight w:val="white"/>
        </w:rPr>
        <w:t>Santin</w:t>
      </w:r>
      <w:r w:rsidRPr="008E403D">
        <w:rPr>
          <w:rFonts w:ascii="Times New Roman" w:hAnsi="Times New Roman"/>
          <w:highlight w:val="white"/>
        </w:rPr>
        <w:t xml:space="preserve"> </w:t>
      </w:r>
      <w:r w:rsidR="00DE2653" w:rsidRPr="008E403D">
        <w:rPr>
          <w:rFonts w:ascii="Times New Roman" w:hAnsi="Times New Roman"/>
          <w:highlight w:val="white"/>
        </w:rPr>
        <w:t>(</w:t>
      </w:r>
      <w:r w:rsidRPr="008E403D">
        <w:rPr>
          <w:rFonts w:ascii="Times New Roman" w:hAnsi="Times New Roman"/>
          <w:highlight w:val="white"/>
        </w:rPr>
        <w:t>2013, p. 202 e seguintes</w:t>
      </w:r>
      <w:r w:rsidR="00DE2653" w:rsidRPr="008E403D">
        <w:rPr>
          <w:rFonts w:ascii="Times New Roman" w:hAnsi="Times New Roman"/>
          <w:highlight w:val="white"/>
        </w:rPr>
        <w:t>)</w:t>
      </w:r>
      <w:r w:rsidRPr="008E403D">
        <w:rPr>
          <w:rFonts w:ascii="Times New Roman" w:hAnsi="Times New Roman"/>
          <w:highlight w:val="white"/>
        </w:rPr>
        <w:t>).</w:t>
      </w:r>
    </w:p>
    <w:p w14:paraId="21E99D0A" w14:textId="77777777" w:rsidR="002A2A46" w:rsidRPr="0008461C" w:rsidRDefault="00C01245">
      <w:pPr>
        <w:pStyle w:val="Corpodetexto"/>
        <w:spacing w:after="0" w:line="360" w:lineRule="auto"/>
        <w:ind w:firstLine="850"/>
        <w:jc w:val="both"/>
        <w:rPr>
          <w:rFonts w:hint="eastAsia"/>
        </w:rPr>
      </w:pPr>
      <w:r w:rsidRPr="008E403D">
        <w:rPr>
          <w:rFonts w:ascii="Times New Roman" w:hAnsi="Times New Roman"/>
          <w:highlight w:val="white"/>
        </w:rPr>
        <w:t>Sob outra ótica, entretanto, o desvelamento da insuficiência das respostas do Estado nacional aos problemas do plano concreto perpassa a crise instalada sobre a própria lógica administrativa tradicional. Assim, o ideário empresarial se projeta sobre os neg</w:t>
      </w:r>
      <w:r w:rsidRPr="008E403D">
        <w:rPr>
          <w:rFonts w:ascii="Times New Roman" w:hAnsi="Times New Roman"/>
          <w:highlight w:val="white"/>
        </w:rPr>
        <w:t>ócios públicos, crescendo a demanda por uma gestão pública mais eficiente e produtiva, a fim de dar cumprimento às prestações públicas de maneira mais rápida e adequada. A revisão das práticas administrativas nesse cenário deu uma arrancada ao longo do séc</w:t>
      </w:r>
      <w:r w:rsidRPr="008E403D">
        <w:rPr>
          <w:rFonts w:ascii="Times New Roman" w:hAnsi="Times New Roman"/>
          <w:highlight w:val="white"/>
        </w:rPr>
        <w:t xml:space="preserve">ulo XX, mas ganhou maior velocidade precisamente ao final daquele período, a partir dos anos 1980, com repetidos projetos de revisão administrativa, exemplificativamente apontados em diferentes estados norte-americanos. </w:t>
      </w:r>
    </w:p>
    <w:p w14:paraId="1A3A4002" w14:textId="425853F6" w:rsidR="002A2A46" w:rsidRPr="0008461C" w:rsidRDefault="00C01245">
      <w:pPr>
        <w:pStyle w:val="Corpodetexto"/>
        <w:spacing w:after="0" w:line="360" w:lineRule="auto"/>
        <w:ind w:firstLine="850"/>
        <w:jc w:val="both"/>
        <w:rPr>
          <w:rFonts w:hint="eastAsia"/>
        </w:rPr>
      </w:pPr>
      <w:r w:rsidRPr="008E403D">
        <w:rPr>
          <w:rFonts w:ascii="Times New Roman" w:hAnsi="Times New Roman"/>
          <w:highlight w:val="white"/>
        </w:rPr>
        <w:t>Christopher Hood, nome relevante no</w:t>
      </w:r>
      <w:r w:rsidRPr="008E403D">
        <w:rPr>
          <w:rFonts w:ascii="Times New Roman" w:hAnsi="Times New Roman"/>
          <w:highlight w:val="white"/>
        </w:rPr>
        <w:t xml:space="preserve"> desenvolvimento histórico do tema, assinalava que nos anos 80 do Século XX a atividade administrativa ainda estava sujeita ao modelo denominado de administração pública progressiva – </w:t>
      </w:r>
      <w:r w:rsidRPr="008E403D">
        <w:rPr>
          <w:rFonts w:ascii="Times New Roman" w:hAnsi="Times New Roman"/>
          <w:i/>
          <w:iCs/>
          <w:highlight w:val="white"/>
        </w:rPr>
        <w:t>progressive public administration</w:t>
      </w:r>
      <w:r w:rsidRPr="008E403D">
        <w:rPr>
          <w:rFonts w:ascii="Times New Roman" w:hAnsi="Times New Roman"/>
          <w:highlight w:val="white"/>
        </w:rPr>
        <w:t xml:space="preserve"> – e se suportava sobre dois fundamento</w:t>
      </w:r>
      <w:r w:rsidRPr="008E403D">
        <w:rPr>
          <w:rFonts w:ascii="Times New Roman" w:hAnsi="Times New Roman"/>
          <w:highlight w:val="white"/>
        </w:rPr>
        <w:t xml:space="preserve">s: a) a distinção radical entre os setores público e privado, desde seus métodos até a organização de carreira de seus trabalhadores; b) regras procedimentais dispostas em contrário à </w:t>
      </w:r>
      <w:r w:rsidRPr="008E403D">
        <w:rPr>
          <w:rFonts w:ascii="Times New Roman" w:hAnsi="Times New Roman"/>
          <w:highlight w:val="white"/>
        </w:rPr>
        <w:lastRenderedPageBreak/>
        <w:t>discricionariedade política e gerencial (de modo a impedir favoritismo e</w:t>
      </w:r>
      <w:r w:rsidRPr="008E403D">
        <w:rPr>
          <w:rFonts w:ascii="Times New Roman" w:hAnsi="Times New Roman"/>
          <w:highlight w:val="white"/>
        </w:rPr>
        <w:t xml:space="preserve"> corrupção) </w:t>
      </w:r>
      <w:r w:rsidRPr="008E403D">
        <w:rPr>
          <w:rFonts w:ascii="Times New Roman" w:hAnsi="Times New Roman"/>
          <w:sz w:val="22"/>
          <w:szCs w:val="22"/>
        </w:rPr>
        <w:t>(HOOD, 1995, p. 93-94)</w:t>
      </w:r>
      <w:r w:rsidR="00DE2653" w:rsidRPr="008E403D">
        <w:rPr>
          <w:rFonts w:ascii="Times New Roman" w:hAnsi="Times New Roman"/>
          <w:sz w:val="22"/>
          <w:szCs w:val="22"/>
        </w:rPr>
        <w:t>.</w:t>
      </w:r>
    </w:p>
    <w:p w14:paraId="47B6491E" w14:textId="77777777" w:rsidR="002A2A46" w:rsidRPr="0008461C" w:rsidRDefault="00C01245">
      <w:pPr>
        <w:pStyle w:val="Corpodetexto"/>
        <w:spacing w:after="0" w:line="360" w:lineRule="auto"/>
        <w:ind w:firstLine="850"/>
        <w:jc w:val="both"/>
        <w:rPr>
          <w:rFonts w:hint="eastAsia"/>
        </w:rPr>
      </w:pPr>
      <w:r w:rsidRPr="008E403D">
        <w:rPr>
          <w:rFonts w:ascii="Times New Roman" w:hAnsi="Times New Roman"/>
        </w:rPr>
        <w:t>Como destacado pelo mesmo autor, essa nova forma de gestão pública querida ao final do Século XX (</w:t>
      </w:r>
      <w:r w:rsidRPr="008E403D">
        <w:rPr>
          <w:rFonts w:ascii="Times New Roman" w:hAnsi="Times New Roman"/>
          <w:i/>
          <w:iCs/>
        </w:rPr>
        <w:t>New Public Management</w:t>
      </w:r>
      <w:r w:rsidRPr="008E403D">
        <w:rPr>
          <w:rFonts w:ascii="Times New Roman" w:hAnsi="Times New Roman"/>
        </w:rPr>
        <w:t xml:space="preserve">) implica aproximação entre a gestão pública e a gestão privada e enfatiza controles do ponto de </w:t>
      </w:r>
      <w:r w:rsidRPr="008E403D">
        <w:rPr>
          <w:rFonts w:ascii="Times New Roman" w:hAnsi="Times New Roman"/>
        </w:rPr>
        <w:t xml:space="preserve">vista de resultados mais do que propriamente a rejeição absoluta (dizia-se até “criminalizadora”) dos métodos mercadológicos e da iniciativa privada no cenário público </w:t>
      </w:r>
      <w:r w:rsidRPr="008E403D">
        <w:rPr>
          <w:rFonts w:ascii="Times New Roman" w:hAnsi="Times New Roman"/>
          <w:sz w:val="22"/>
          <w:szCs w:val="22"/>
        </w:rPr>
        <w:t>(HOOD, 1995, p. 94).</w:t>
      </w:r>
    </w:p>
    <w:p w14:paraId="371FED2C" w14:textId="77777777"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Mas o controle da administração pública nunca deve se limitar a mer</w:t>
      </w:r>
      <w:r w:rsidRPr="008E403D">
        <w:rPr>
          <w:rFonts w:ascii="Times New Roman" w:hAnsi="Times New Roman"/>
        </w:rPr>
        <w:t>os registros exitosos de contabilidade, porque a noção de boa governança no Estado Democrático de Direito pode e deve ultrapassar a ideia mais restrita de gestão financeira apenas</w:t>
      </w:r>
      <w:r w:rsidRPr="008E403D">
        <w:rPr>
          <w:rFonts w:ascii="Times New Roman" w:hAnsi="Times New Roman"/>
        </w:rPr>
        <w:t>. Aliás, n</w:t>
      </w:r>
      <w:r w:rsidRPr="008E403D">
        <w:rPr>
          <w:rFonts w:ascii="Times New Roman" w:hAnsi="Times New Roman"/>
        </w:rPr>
        <w:t>o âmbito das Nações Unidas, a boa governança é apontada pela ênfase</w:t>
      </w:r>
      <w:r w:rsidRPr="008E403D">
        <w:rPr>
          <w:rFonts w:ascii="Times New Roman" w:hAnsi="Times New Roman"/>
        </w:rPr>
        <w:t xml:space="preserve"> mais completa em critérios fundamentais de promoção de consenso, participação, efetividade/eficiência, </w:t>
      </w:r>
      <w:r w:rsidRPr="008E403D">
        <w:rPr>
          <w:rFonts w:ascii="Times New Roman" w:hAnsi="Times New Roman"/>
        </w:rPr>
        <w:t>accountability</w:t>
      </w:r>
      <w:r w:rsidRPr="008E403D">
        <w:rPr>
          <w:rFonts w:ascii="Times New Roman" w:hAnsi="Times New Roman"/>
        </w:rPr>
        <w:t xml:space="preserve">, equidade, inclusão, transparência, responsabilidade e cumprimento da legislação (observância das “regras do jogo”) (ISMAIL FILHO, 2015, </w:t>
      </w:r>
      <w:r w:rsidRPr="008E403D">
        <w:rPr>
          <w:rFonts w:ascii="Times New Roman" w:hAnsi="Times New Roman"/>
        </w:rPr>
        <w:t>p. 114).</w:t>
      </w:r>
    </w:p>
    <w:p w14:paraId="5EDA92B0" w14:textId="77777777"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A maior dispersão do poder e a fragmentação da responsabilidade, decorrentes em parte da globalização dos mercados e da reconfiguração do Estado-Providência, apontam efetivamente à premência da sustentação de um novo contexto de</w:t>
      </w:r>
      <w:r w:rsidRPr="008E403D">
        <w:rPr>
          <w:rFonts w:ascii="Times New Roman" w:hAnsi="Times New Roman"/>
        </w:rPr>
        <w:t xml:space="preserve"> boa governança</w:t>
      </w:r>
      <w:r w:rsidRPr="008E403D">
        <w:rPr>
          <w:rFonts w:ascii="Times New Roman" w:hAnsi="Times New Roman"/>
        </w:rPr>
        <w:t xml:space="preserve"> org</w:t>
      </w:r>
      <w:r w:rsidRPr="008E403D">
        <w:rPr>
          <w:rFonts w:ascii="Times New Roman" w:hAnsi="Times New Roman"/>
        </w:rPr>
        <w:t>anizada por meio de seis dimensões que superam o aspecto financeiro: a) asseguramento de voz e</w:t>
      </w:r>
      <w:r w:rsidRPr="008E403D">
        <w:rPr>
          <w:rFonts w:ascii="Times New Roman" w:hAnsi="Times New Roman"/>
        </w:rPr>
        <w:t xml:space="preserve"> accountability</w:t>
      </w:r>
      <w:r w:rsidRPr="008E403D">
        <w:rPr>
          <w:rFonts w:ascii="Times New Roman" w:hAnsi="Times New Roman"/>
        </w:rPr>
        <w:t xml:space="preserve"> externa; b) estabilidade política e ausência de violência, criminalidade e terrorismo; c) eficácia do governo; d) ausência de carga regulatória; e</w:t>
      </w:r>
      <w:r w:rsidRPr="008E403D">
        <w:rPr>
          <w:rFonts w:ascii="Times New Roman" w:hAnsi="Times New Roman"/>
        </w:rPr>
        <w:t>) Estado de Direito; f) controle da corrupção (COSTA, 2014, p. 149-151).</w:t>
      </w:r>
    </w:p>
    <w:p w14:paraId="023A64C0" w14:textId="77777777"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A lógica da boa governança implica, entre seus aspectos, a existência de foco de atenção sobre a clientela a que se destina a atividade administrativa, o que, no caso da cena pública,</w:t>
      </w:r>
      <w:r w:rsidRPr="008E403D">
        <w:rPr>
          <w:rFonts w:ascii="Times New Roman" w:hAnsi="Times New Roman"/>
        </w:rPr>
        <w:t xml:space="preserve"> implica assumir que o “cliente” do Estado é o cidadão, de maneira que:</w:t>
      </w:r>
    </w:p>
    <w:p w14:paraId="109B2B49" w14:textId="77777777" w:rsidR="00DE2653" w:rsidRPr="008E403D" w:rsidRDefault="00DE2653" w:rsidP="00DE2653">
      <w:pPr>
        <w:pStyle w:val="Corpodetexto"/>
        <w:spacing w:after="0" w:line="240" w:lineRule="auto"/>
        <w:ind w:left="1701"/>
        <w:jc w:val="both"/>
        <w:rPr>
          <w:rFonts w:ascii="Times New Roman" w:hAnsi="Times New Roman"/>
          <w:sz w:val="20"/>
          <w:szCs w:val="20"/>
          <w:highlight w:val="white"/>
          <w:lang w:val="en-US"/>
        </w:rPr>
      </w:pPr>
    </w:p>
    <w:p w14:paraId="1537C210" w14:textId="62511BA4" w:rsidR="002A2A46" w:rsidRPr="008E403D" w:rsidRDefault="00C01245" w:rsidP="00DE2653">
      <w:pPr>
        <w:pStyle w:val="Corpodetexto"/>
        <w:spacing w:after="0" w:line="240" w:lineRule="auto"/>
        <w:ind w:left="1701"/>
        <w:jc w:val="both"/>
        <w:rPr>
          <w:rFonts w:ascii="Times New Roman" w:hAnsi="Times New Roman"/>
          <w:sz w:val="20"/>
          <w:szCs w:val="20"/>
          <w:lang w:val="en-US"/>
        </w:rPr>
      </w:pPr>
      <w:r w:rsidRPr="008E403D">
        <w:rPr>
          <w:rFonts w:ascii="Times New Roman" w:hAnsi="Times New Roman"/>
          <w:sz w:val="20"/>
          <w:szCs w:val="20"/>
          <w:highlight w:val="white"/>
          <w:lang w:val="en-US"/>
        </w:rPr>
        <w:t xml:space="preserve">[…] o termo boa administração, em nosso sentir, é expressão vinculada a um sentido jurídico de Administração Pública, que se compromete a observar uma série de direitos subjetivos em </w:t>
      </w:r>
      <w:r w:rsidRPr="008E403D">
        <w:rPr>
          <w:rFonts w:ascii="Times New Roman" w:hAnsi="Times New Roman"/>
          <w:sz w:val="20"/>
          <w:szCs w:val="20"/>
          <w:highlight w:val="white"/>
          <w:lang w:val="en-US"/>
        </w:rPr>
        <w:t>prol do Administrado (como o direito ao devido processo legal e à participação procedimental), bem como os princípios para ela insculpidos na Constituição, o que resultará em um serviço público mais transparente, legítimo e efetivo. Mas, ao conceito de boa</w:t>
      </w:r>
      <w:r w:rsidRPr="008E403D">
        <w:rPr>
          <w:rFonts w:ascii="Times New Roman" w:hAnsi="Times New Roman"/>
          <w:sz w:val="20"/>
          <w:szCs w:val="20"/>
          <w:highlight w:val="white"/>
          <w:lang w:val="en-US"/>
        </w:rPr>
        <w:t xml:space="preserve"> administração devem ser agregados muitos conceitos trazidos pelos teóricos da boa governança, tópico que tem encontrado maior sintonia no direito anglo-saxônico. Como exemplo, pode-se aduzir que boa governança pública significa tratar os destinatários do </w:t>
      </w:r>
      <w:r w:rsidRPr="008E403D">
        <w:rPr>
          <w:rFonts w:ascii="Times New Roman" w:hAnsi="Times New Roman"/>
          <w:sz w:val="20"/>
          <w:szCs w:val="20"/>
          <w:highlight w:val="white"/>
          <w:lang w:val="en-US"/>
        </w:rPr>
        <w:t>serviço público não como simples consumidores, mas, antes de tudo, como cidadãos. […] (ISMAIL FILHO, 2015, p. 112)</w:t>
      </w:r>
      <w:r w:rsidR="00DE2653" w:rsidRPr="008E403D">
        <w:rPr>
          <w:rFonts w:ascii="Times New Roman" w:hAnsi="Times New Roman"/>
          <w:sz w:val="20"/>
          <w:szCs w:val="20"/>
          <w:lang w:val="en-US"/>
        </w:rPr>
        <w:t>.</w:t>
      </w:r>
    </w:p>
    <w:p w14:paraId="45D17D47" w14:textId="77777777" w:rsidR="00DE2653" w:rsidRPr="008E403D" w:rsidRDefault="00DE2653" w:rsidP="008E403D">
      <w:pPr>
        <w:pStyle w:val="Corpodetexto"/>
        <w:spacing w:after="0" w:line="240" w:lineRule="auto"/>
        <w:ind w:left="1701"/>
        <w:jc w:val="both"/>
        <w:rPr>
          <w:rFonts w:hint="eastAsia"/>
          <w:sz w:val="20"/>
          <w:szCs w:val="20"/>
        </w:rPr>
      </w:pPr>
    </w:p>
    <w:p w14:paraId="171CAF04" w14:textId="7B2DD71C"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 xml:space="preserve">Resulta daí também a revisão dos princípios tradicionalmente reconhecidos como diretores da Administração Pública, para ênfase a conteúdos </w:t>
      </w:r>
      <w:r w:rsidRPr="008E403D">
        <w:rPr>
          <w:rFonts w:ascii="Times New Roman" w:hAnsi="Times New Roman"/>
        </w:rPr>
        <w:t xml:space="preserve">relacionados aos princípios da transparência, da coerência, da abertura, da democracia participativa e da justa medida (por sua vez desdobrado em princípios da sustentabilidade, racionalidade, eficiência e avaliação). Ainda que a noção de boa </w:t>
      </w:r>
      <w:r w:rsidRPr="008E403D">
        <w:rPr>
          <w:rFonts w:ascii="Times New Roman" w:hAnsi="Times New Roman"/>
        </w:rPr>
        <w:lastRenderedPageBreak/>
        <w:t>governança de</w:t>
      </w:r>
      <w:r w:rsidRPr="008E403D">
        <w:rPr>
          <w:rFonts w:ascii="Times New Roman" w:hAnsi="Times New Roman"/>
        </w:rPr>
        <w:t xml:space="preserve">corra em boa medida das expectativas geradas pela aproximação entre gestão pública e privada, salienta-se que o novo cenário não se dissocia do Estado Democrático de Direito e das noções de </w:t>
      </w:r>
      <w:r w:rsidRPr="008E403D">
        <w:rPr>
          <w:rFonts w:ascii="Times New Roman" w:hAnsi="Times New Roman"/>
        </w:rPr>
        <w:t>accountability</w:t>
      </w:r>
      <w:r w:rsidRPr="008E403D">
        <w:rPr>
          <w:rFonts w:ascii="Times New Roman" w:hAnsi="Times New Roman"/>
        </w:rPr>
        <w:t xml:space="preserve"> e</w:t>
      </w:r>
      <w:r w:rsidRPr="008E403D">
        <w:rPr>
          <w:rFonts w:ascii="Times New Roman" w:hAnsi="Times New Roman"/>
        </w:rPr>
        <w:t xml:space="preserve"> responsiv</w:t>
      </w:r>
      <w:r w:rsidR="00492D77" w:rsidRPr="008E403D">
        <w:rPr>
          <w:rFonts w:ascii="Times New Roman" w:hAnsi="Times New Roman"/>
        </w:rPr>
        <w:t>e</w:t>
      </w:r>
      <w:r w:rsidRPr="008E403D">
        <w:rPr>
          <w:rFonts w:ascii="Times New Roman" w:hAnsi="Times New Roman"/>
        </w:rPr>
        <w:t xml:space="preserve">ness. </w:t>
      </w:r>
      <w:r w:rsidRPr="008E403D">
        <w:rPr>
          <w:rFonts w:ascii="Times New Roman" w:hAnsi="Times New Roman"/>
        </w:rPr>
        <w:t>A boa governança</w:t>
      </w:r>
      <w:r w:rsidR="00492D77" w:rsidRPr="008E403D">
        <w:rPr>
          <w:rFonts w:ascii="Times New Roman" w:hAnsi="Times New Roman"/>
        </w:rPr>
        <w:t>,</w:t>
      </w:r>
      <w:r w:rsidRPr="008E403D">
        <w:rPr>
          <w:rFonts w:ascii="Times New Roman" w:hAnsi="Times New Roman"/>
        </w:rPr>
        <w:t xml:space="preserve"> nesse contexto</w:t>
      </w:r>
      <w:r w:rsidR="00492D77" w:rsidRPr="008E403D">
        <w:rPr>
          <w:rFonts w:ascii="Times New Roman" w:hAnsi="Times New Roman"/>
        </w:rPr>
        <w:t>,</w:t>
      </w:r>
      <w:r w:rsidRPr="008E403D">
        <w:rPr>
          <w:rFonts w:ascii="Times New Roman" w:hAnsi="Times New Roman"/>
        </w:rPr>
        <w:t xml:space="preserve"> deve ser entendida como </w:t>
      </w:r>
      <w:r w:rsidRPr="008E403D">
        <w:rPr>
          <w:rFonts w:ascii="Times New Roman" w:hAnsi="Times New Roman"/>
        </w:rPr>
        <w:t xml:space="preserve">princípio constitucional conformador </w:t>
      </w:r>
      <w:r w:rsidRPr="008E403D">
        <w:rPr>
          <w:rFonts w:ascii="Times New Roman" w:hAnsi="Times New Roman"/>
        </w:rPr>
        <w:t>para conciliação entre Estado, Direito e Gestão (COSTA, 2014, p. 205 e seguintes)</w:t>
      </w:r>
      <w:r w:rsidR="00DE2653" w:rsidRPr="008E403D">
        <w:rPr>
          <w:rFonts w:ascii="Times New Roman" w:hAnsi="Times New Roman"/>
        </w:rPr>
        <w:t>.</w:t>
      </w:r>
    </w:p>
    <w:p w14:paraId="4272F6B5" w14:textId="28A2564B"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A título de ilustração, o direito à boa administração se irradia a todas as demais dimensões de direitos funda</w:t>
      </w:r>
      <w:r w:rsidRPr="008E403D">
        <w:rPr>
          <w:rFonts w:ascii="Times New Roman" w:hAnsi="Times New Roman"/>
        </w:rPr>
        <w:t xml:space="preserve">mentais (e tem sido sustentado por parte da doutrina a partir da compreensão do direito de exigir atuação do Estado sempre dirigida à atenção para todos os deveres inerentes à boa administração). A concretização dos direitos sociais depende, inicialmente, </w:t>
      </w:r>
      <w:r w:rsidRPr="008E403D">
        <w:rPr>
          <w:rFonts w:ascii="Times New Roman" w:hAnsi="Times New Roman"/>
        </w:rPr>
        <w:t xml:space="preserve">da atuação administrativa organizada e compromissada efetivamente para atenção a resultados efetivos e úteis. Assim, a afirmação do direito à </w:t>
      </w:r>
      <w:r w:rsidR="00492D77" w:rsidRPr="008E403D">
        <w:rPr>
          <w:rFonts w:ascii="Times New Roman" w:hAnsi="Times New Roman"/>
        </w:rPr>
        <w:t>s</w:t>
      </w:r>
      <w:r w:rsidRPr="008E403D">
        <w:rPr>
          <w:rFonts w:ascii="Times New Roman" w:hAnsi="Times New Roman"/>
        </w:rPr>
        <w:t>aúde resultaria claramente prejudicada se não houvesse de contrapartida a atuação administrativa realmente orien</w:t>
      </w:r>
      <w:r w:rsidRPr="008E403D">
        <w:rPr>
          <w:rFonts w:ascii="Times New Roman" w:hAnsi="Times New Roman"/>
        </w:rPr>
        <w:t>tada para sua realização de modo amplo e para além do simples cálculo financeiro e arbitrário no controle de contas dos departamentos de saúde, que viesse a redundar, por exemplo, na prática na ausência de cobertura vacinal.</w:t>
      </w:r>
    </w:p>
    <w:p w14:paraId="4F6F57D1" w14:textId="76D53E4E"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Desde outro ponto de vista, tam</w:t>
      </w:r>
      <w:r w:rsidRPr="008E403D">
        <w:rPr>
          <w:rFonts w:ascii="Times New Roman" w:hAnsi="Times New Roman"/>
        </w:rPr>
        <w:t>bém a título de exemplo, chama-se a atenção para o fato de que o argumento de sucesso financeiro da gestão pública não pode se sobrepor à moralidade para fundamentar a nomeação de servidores comissionados já condenados por atos de improbidade administrativ</w:t>
      </w:r>
      <w:r w:rsidRPr="008E403D">
        <w:rPr>
          <w:rFonts w:ascii="Times New Roman" w:hAnsi="Times New Roman"/>
        </w:rPr>
        <w:t>a (cuja idoneidade para o exercício da função pública resulta em questão, portanto) (</w:t>
      </w:r>
      <w:r w:rsidR="00BA16F2" w:rsidRPr="008E403D">
        <w:rPr>
          <w:rFonts w:ascii="Times New Roman" w:hAnsi="Times New Roman"/>
        </w:rPr>
        <w:t>SANTIN</w:t>
      </w:r>
      <w:r w:rsidRPr="008E403D">
        <w:rPr>
          <w:rFonts w:ascii="Times New Roman" w:hAnsi="Times New Roman"/>
        </w:rPr>
        <w:t xml:space="preserve">, 2019, </w:t>
      </w:r>
      <w:r w:rsidRPr="008E403D">
        <w:rPr>
          <w:rFonts w:ascii="Times New Roman" w:hAnsi="Times New Roman"/>
        </w:rPr>
        <w:t xml:space="preserve">p. 651). </w:t>
      </w:r>
      <w:r w:rsidRPr="008E403D">
        <w:rPr>
          <w:rFonts w:ascii="Times New Roman" w:hAnsi="Times New Roman"/>
        </w:rPr>
        <w:t>Em casos assim, a competência administrativa de determinado agente não superará os danos potenciais que poderá causar ao erário e à ordem públi</w:t>
      </w:r>
      <w:r w:rsidRPr="008E403D">
        <w:rPr>
          <w:rFonts w:ascii="Times New Roman" w:hAnsi="Times New Roman"/>
        </w:rPr>
        <w:t>ca, que também devem ser objeto de atenção (e prevenção).</w:t>
      </w:r>
    </w:p>
    <w:p w14:paraId="7D88D380" w14:textId="77777777"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 xml:space="preserve">Ainda sob outro aspecto, a noção renovada de </w:t>
      </w:r>
      <w:r w:rsidRPr="008E403D">
        <w:rPr>
          <w:rFonts w:ascii="Times New Roman" w:hAnsi="Times New Roman"/>
        </w:rPr>
        <w:t xml:space="preserve">accountability </w:t>
      </w:r>
      <w:r w:rsidRPr="008E403D">
        <w:rPr>
          <w:rFonts w:ascii="Times New Roman" w:hAnsi="Times New Roman"/>
        </w:rPr>
        <w:t>ultrapassa em definitivo o pensamento tradicional de discricionariedade administrativa que se atrelava ao modelo irracional de simples pre</w:t>
      </w:r>
      <w:r w:rsidRPr="008E403D">
        <w:rPr>
          <w:rFonts w:ascii="Times New Roman" w:hAnsi="Times New Roman"/>
        </w:rPr>
        <w:t>dileção pessoal de cada gestor público e correspondente arbitrariedade na escolha das iniciativas administrativas. As políticas públicas e os meios de sua consecução devem ser sempre fundamentados de modo razoável tanto do ponto de vista normativo quanto f</w:t>
      </w:r>
      <w:r w:rsidRPr="008E403D">
        <w:rPr>
          <w:rFonts w:ascii="Times New Roman" w:hAnsi="Times New Roman"/>
        </w:rPr>
        <w:t>ático e as falhas da Administração Pública na proteção dos direitos por defeito de governança devem estar sujeitas a controle externo, em especial pelo Poder Judiciário, devidamente provocado mediante instrumentos adequadamente estabelecidos para essa fina</w:t>
      </w:r>
      <w:r w:rsidRPr="008E403D">
        <w:rPr>
          <w:rFonts w:ascii="Times New Roman" w:hAnsi="Times New Roman"/>
        </w:rPr>
        <w:t>lidade corretiva.</w:t>
      </w:r>
    </w:p>
    <w:p w14:paraId="0526C8E5" w14:textId="77777777"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Entre os vícios da atividade discricionária que devem ser controlados estão: a) a discricionariedade excessiva ou abusiva (por ação) (nos casos em que se opta por solução inválida para os problemas dos administrativos em desafio ao cabeda</w:t>
      </w:r>
      <w:r w:rsidRPr="008E403D">
        <w:rPr>
          <w:rFonts w:ascii="Times New Roman" w:hAnsi="Times New Roman"/>
        </w:rPr>
        <w:t xml:space="preserve">l principiológico referido); b) discricionariedade insuficiente (por omissão) (nos casos em que a escolha administrativa simplesmente não é realizada ou é feita com inoperância, desatendendo a deveres de </w:t>
      </w:r>
      <w:r w:rsidRPr="008E403D">
        <w:rPr>
          <w:rFonts w:ascii="Times New Roman" w:hAnsi="Times New Roman"/>
        </w:rPr>
        <w:lastRenderedPageBreak/>
        <w:t>prevenção/precaução e obrigações retributivas, també</w:t>
      </w:r>
      <w:r w:rsidRPr="008E403D">
        <w:rPr>
          <w:rFonts w:ascii="Times New Roman" w:hAnsi="Times New Roman"/>
        </w:rPr>
        <w:t xml:space="preserve">m deixando a descoberto os direitos dos administrados que deveriam ser protegidos) (FREITAS, 2009, p. 11). </w:t>
      </w:r>
    </w:p>
    <w:p w14:paraId="3BF5A22E" w14:textId="6DC425FA"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Uma consequência extraída desse novo contexto de sindicabilidade dos atos discricionários, aliás, é o espaço reduzido que deve ser admitido à decisã</w:t>
      </w:r>
      <w:r w:rsidRPr="008E403D">
        <w:rPr>
          <w:rFonts w:ascii="Times New Roman" w:hAnsi="Times New Roman"/>
        </w:rPr>
        <w:t>o do administrador público até mesmo para lançar-se a demandas judiciais desnecessárias e custosas enquanto disponha de meios extrajudiciais que privilegiam o consenso e economizam recursos públicos para a solução de conflitos (havendo já mecanismos de sol</w:t>
      </w:r>
      <w:r w:rsidRPr="008E403D">
        <w:rPr>
          <w:rFonts w:ascii="Times New Roman" w:hAnsi="Times New Roman"/>
        </w:rPr>
        <w:t>ução consensual de conflitos bastante assinalados em diferentes documentos normativos brasileiros, especialmente em âmbito federal (</w:t>
      </w:r>
      <w:r w:rsidR="00311F7E" w:rsidRPr="008E403D">
        <w:rPr>
          <w:rFonts w:ascii="Times New Roman" w:hAnsi="Times New Roman"/>
        </w:rPr>
        <w:t>ASSUMPÇÃO</w:t>
      </w:r>
      <w:r w:rsidR="00BC5117" w:rsidRPr="008E403D">
        <w:rPr>
          <w:rFonts w:ascii="Times New Roman" w:hAnsi="Times New Roman"/>
        </w:rPr>
        <w:t xml:space="preserve">; </w:t>
      </w:r>
      <w:r w:rsidR="00450966" w:rsidRPr="008E403D">
        <w:rPr>
          <w:rFonts w:ascii="Times New Roman" w:hAnsi="Times New Roman"/>
        </w:rPr>
        <w:t>BOLLOTI</w:t>
      </w:r>
      <w:r w:rsidRPr="008E403D">
        <w:rPr>
          <w:rFonts w:ascii="Times New Roman" w:hAnsi="Times New Roman"/>
        </w:rPr>
        <w:t>, 2022</w:t>
      </w:r>
      <w:r w:rsidRPr="008E403D">
        <w:rPr>
          <w:rFonts w:ascii="Times New Roman" w:hAnsi="Times New Roman"/>
        </w:rPr>
        <w:t>, p. 164 e seguintes).</w:t>
      </w:r>
    </w:p>
    <w:p w14:paraId="595B7FE6" w14:textId="3C41A726" w:rsidR="002A2A46" w:rsidRPr="008E403D" w:rsidRDefault="00C01245">
      <w:pPr>
        <w:pStyle w:val="Corpodetexto"/>
        <w:spacing w:after="0" w:line="360" w:lineRule="auto"/>
        <w:ind w:firstLine="850"/>
        <w:jc w:val="both"/>
        <w:rPr>
          <w:rFonts w:ascii="Times New Roman" w:hAnsi="Times New Roman"/>
        </w:rPr>
      </w:pPr>
      <w:r w:rsidRPr="008E403D">
        <w:rPr>
          <w:rFonts w:ascii="Times New Roman" w:hAnsi="Times New Roman"/>
        </w:rPr>
        <w:t>O controle externo e a ampla sindicabilidade</w:t>
      </w:r>
      <w:r w:rsidRPr="008E403D">
        <w:rPr>
          <w:rFonts w:ascii="Times New Roman" w:hAnsi="Times New Roman"/>
        </w:rPr>
        <w:t xml:space="preserve"> dos atos da Administração Pública desenvolvem um papel especialmente importante nesse novo contexto</w:t>
      </w:r>
      <w:r w:rsidR="00492D77" w:rsidRPr="008E403D">
        <w:rPr>
          <w:rFonts w:ascii="Times New Roman" w:hAnsi="Times New Roman"/>
        </w:rPr>
        <w:t>,</w:t>
      </w:r>
      <w:r w:rsidRPr="008E403D">
        <w:rPr>
          <w:rFonts w:ascii="Times New Roman" w:hAnsi="Times New Roman"/>
        </w:rPr>
        <w:t xml:space="preserve"> sobretudo porque a boa governança enquanto direito fundamental não conta com previsão expressa no sistema constitucional brasileiro e sua afirmação no con</w:t>
      </w:r>
      <w:r w:rsidRPr="008E403D">
        <w:rPr>
          <w:rFonts w:ascii="Times New Roman" w:hAnsi="Times New Roman"/>
        </w:rPr>
        <w:t xml:space="preserve">texto nacional depende de sua enunciação pelos órgãos de controle. </w:t>
      </w:r>
    </w:p>
    <w:p w14:paraId="26467572" w14:textId="18F1DA8A"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Sua afirmação por esses órgãos, em todo caso, pode ser alcançada por meio da dedução dos princípios fundamentais indicados no artigo 37 e outros dispositivos conexos da Constituição Federa</w:t>
      </w:r>
      <w:r w:rsidRPr="008E403D">
        <w:rPr>
          <w:rFonts w:ascii="Times New Roman" w:hAnsi="Times New Roman"/>
        </w:rPr>
        <w:t xml:space="preserve">l, combinados ao exemplo de diplomas estrangeiros e internacionais que já o enunciaram, com apoio em principiologia assemelhada àquela prevista pela nossa Constituição. Assim, o direito à boa governança foi referido na Carta Iberoamericana de los Derechos </w:t>
      </w:r>
      <w:r w:rsidRPr="008E403D">
        <w:rPr>
          <w:rFonts w:ascii="Times New Roman" w:hAnsi="Times New Roman"/>
        </w:rPr>
        <w:t>y Deberes del Ciudadano en Relación con la Administración Pública, aprovada pelo Conselho Directivo do CLAD (Centro Latinoamericano de Administración para el Desarrollo); e está previsto de modo mais expressivo e objetivo na Carta dos Direitos Fundamentais</w:t>
      </w:r>
      <w:r w:rsidRPr="008E403D">
        <w:rPr>
          <w:rFonts w:ascii="Times New Roman" w:hAnsi="Times New Roman"/>
        </w:rPr>
        <w:t xml:space="preserve"> proclamada pela União Europeia no ano de 2000 (Carta de Nice) (</w:t>
      </w:r>
      <w:r w:rsidR="0011136E" w:rsidRPr="008E403D">
        <w:rPr>
          <w:rFonts w:ascii="Times New Roman" w:hAnsi="Times New Roman"/>
        </w:rPr>
        <w:t>ASSUMPÇÃO</w:t>
      </w:r>
      <w:r w:rsidRPr="008E403D">
        <w:rPr>
          <w:rFonts w:ascii="Times New Roman" w:hAnsi="Times New Roman"/>
        </w:rPr>
        <w:t xml:space="preserve">, 2019, </w:t>
      </w:r>
      <w:r w:rsidRPr="008E403D">
        <w:rPr>
          <w:rFonts w:ascii="Times New Roman" w:hAnsi="Times New Roman"/>
        </w:rPr>
        <w:t>p. 14-15).</w:t>
      </w:r>
      <w:r w:rsidR="00813217" w:rsidRPr="008E403D">
        <w:rPr>
          <w:rFonts w:ascii="Times New Roman" w:hAnsi="Times New Roman"/>
        </w:rPr>
        <w:t xml:space="preserve"> </w:t>
      </w:r>
    </w:p>
    <w:p w14:paraId="7814568D" w14:textId="77777777" w:rsidR="002A2A46" w:rsidRPr="008E403D" w:rsidRDefault="00C01245">
      <w:pPr>
        <w:pStyle w:val="Corpodetexto"/>
        <w:spacing w:after="0" w:line="360" w:lineRule="auto"/>
        <w:ind w:firstLine="850"/>
        <w:jc w:val="both"/>
        <w:rPr>
          <w:rFonts w:ascii="Times New Roman" w:hAnsi="Times New Roman"/>
        </w:rPr>
      </w:pPr>
      <w:r w:rsidRPr="008E403D">
        <w:rPr>
          <w:rFonts w:ascii="Times New Roman" w:hAnsi="Times New Roman"/>
        </w:rPr>
        <w:t xml:space="preserve">No plano administrativo e político, serve de exemplo o novo sentido conferido à atuação dos Tribunais de Contas, que avançam para além do controle financeiro </w:t>
      </w:r>
      <w:r w:rsidRPr="008E403D">
        <w:rPr>
          <w:rFonts w:ascii="Times New Roman" w:hAnsi="Times New Roman"/>
        </w:rPr>
        <w:t>(superando também na prática a visão fundamentalmente burocrática e contabilista do controle de contas), para assumir a função de</w:t>
      </w:r>
      <w:r w:rsidRPr="008E403D">
        <w:rPr>
          <w:rFonts w:ascii="Times New Roman" w:hAnsi="Times New Roman"/>
        </w:rPr>
        <w:t xml:space="preserve"> </w:t>
      </w:r>
      <w:r w:rsidRPr="008E403D">
        <w:rPr>
          <w:rFonts w:ascii="Times New Roman" w:hAnsi="Times New Roman"/>
        </w:rPr>
        <w:t xml:space="preserve">verdadeiro </w:t>
      </w:r>
      <w:r w:rsidRPr="008E403D">
        <w:rPr>
          <w:rFonts w:ascii="Times New Roman" w:hAnsi="Times New Roman"/>
        </w:rPr>
        <w:t>Tribunal da good governance</w:t>
      </w:r>
      <w:r w:rsidRPr="008E403D">
        <w:rPr>
          <w:rFonts w:ascii="Times New Roman" w:hAnsi="Times New Roman"/>
        </w:rPr>
        <w:t>, ou seja, assegurar no plano concreto a completude dos aspectos de boa administração qu</w:t>
      </w:r>
      <w:r w:rsidRPr="008E403D">
        <w:rPr>
          <w:rFonts w:ascii="Times New Roman" w:hAnsi="Times New Roman"/>
        </w:rPr>
        <w:t>e foram assinalados antes (COSTA, 2014, p. 161 e seguintes).</w:t>
      </w:r>
    </w:p>
    <w:p w14:paraId="3F494BA5" w14:textId="350A9323"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No plano judiciário, relembra-se que os princípios da moralidade e da eficiência haviam conduzido o Supremo Tribunal Federal brasileiro a validar a Resolução n. 7/2005 do Conselho Nacional de Jus</w:t>
      </w:r>
      <w:r w:rsidRPr="008E403D">
        <w:rPr>
          <w:rFonts w:ascii="Times New Roman" w:hAnsi="Times New Roman"/>
        </w:rPr>
        <w:t>tiça, que assegurou de modo inovador a vedação da prática do nepotismo em todo o Poder Judiciário brasileiro, mais tarde produzindo a Súmula Vinculante n.º 13, também do STF, a princípio desde uma perspectiva fundamentalmente axiológica, que também é cabív</w:t>
      </w:r>
      <w:r w:rsidRPr="008E403D">
        <w:rPr>
          <w:rFonts w:ascii="Times New Roman" w:hAnsi="Times New Roman"/>
        </w:rPr>
        <w:t>el na sustentação do direito à boa governança (</w:t>
      </w:r>
      <w:r w:rsidR="0011136E" w:rsidRPr="008E403D">
        <w:rPr>
          <w:rFonts w:ascii="Times New Roman" w:hAnsi="Times New Roman"/>
        </w:rPr>
        <w:t xml:space="preserve">ASSUMPÇÃO, 2019, </w:t>
      </w:r>
      <w:r w:rsidRPr="008E403D">
        <w:rPr>
          <w:rFonts w:ascii="Times New Roman" w:hAnsi="Times New Roman"/>
        </w:rPr>
        <w:t xml:space="preserve">p. 17). Por isso mesmo, é razoável a afirmação da boa governança também por si mesma como fundamental, correlato à promoção adequada de todos </w:t>
      </w:r>
      <w:r w:rsidRPr="008E403D">
        <w:rPr>
          <w:rFonts w:ascii="Times New Roman" w:hAnsi="Times New Roman"/>
        </w:rPr>
        <w:lastRenderedPageBreak/>
        <w:t>os outros direitos fundamentais, em s</w:t>
      </w:r>
      <w:r w:rsidRPr="008E403D">
        <w:rPr>
          <w:rFonts w:ascii="Times New Roman" w:hAnsi="Times New Roman"/>
        </w:rPr>
        <w:t>uas várias dimensões relacionadas ao Estado (nesse sentido, reconhecendo a boa governança como direito fundamental por si mesma: F</w:t>
      </w:r>
      <w:r w:rsidR="00CB3460" w:rsidRPr="008E403D">
        <w:rPr>
          <w:rFonts w:ascii="Times New Roman" w:hAnsi="Times New Roman"/>
        </w:rPr>
        <w:t>reitas</w:t>
      </w:r>
      <w:r w:rsidRPr="008E403D">
        <w:rPr>
          <w:rFonts w:ascii="Times New Roman" w:hAnsi="Times New Roman"/>
        </w:rPr>
        <w:t xml:space="preserve">, 2015, p. 198; e também </w:t>
      </w:r>
      <w:r w:rsidR="0011136E" w:rsidRPr="008E403D">
        <w:rPr>
          <w:rFonts w:ascii="Times New Roman" w:hAnsi="Times New Roman"/>
        </w:rPr>
        <w:t>Assumpção, 2019</w:t>
      </w:r>
      <w:r w:rsidRPr="008E403D">
        <w:rPr>
          <w:rFonts w:ascii="Times New Roman" w:hAnsi="Times New Roman"/>
        </w:rPr>
        <w:t>, p. 25).</w:t>
      </w:r>
    </w:p>
    <w:p w14:paraId="79E7CC7C"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 xml:space="preserve">A essencialidade do controle externo como meio de promoção </w:t>
      </w:r>
      <w:r w:rsidRPr="008E403D">
        <w:rPr>
          <w:rFonts w:ascii="Times New Roman" w:hAnsi="Times New Roman"/>
        </w:rPr>
        <w:t>do direito fundamental à boa governança, por sua vez, dialoga com a perspectiva já mais explícita do direito fundamental ao serviço público adequado. Na Constituição brasileira, o serviço público adequado é previsto pelo artigo 175, parágrafo único; com ad</w:t>
      </w:r>
      <w:r w:rsidRPr="008E403D">
        <w:rPr>
          <w:rFonts w:ascii="Times New Roman" w:hAnsi="Times New Roman"/>
        </w:rPr>
        <w:t>equação que também resulta de outros textos infraconstitucionais, como a própria Lei n. 13.460/2017 (Código do Usuário do Serviço Público) (art. 4</w:t>
      </w:r>
      <w:r w:rsidRPr="008E403D">
        <w:rPr>
          <w:rFonts w:ascii="Times New Roman" w:hAnsi="Times New Roman"/>
        </w:rPr>
        <w:t>o</w:t>
      </w:r>
      <w:r w:rsidRPr="008E403D">
        <w:rPr>
          <w:rFonts w:ascii="Times New Roman" w:hAnsi="Times New Roman"/>
        </w:rPr>
        <w:t>). A referida Lei n. 13.460/2017 (Código do Usuário do Serviço Público) define serviço público como “atividad</w:t>
      </w:r>
      <w:r w:rsidRPr="008E403D">
        <w:rPr>
          <w:rFonts w:ascii="Times New Roman" w:hAnsi="Times New Roman"/>
        </w:rPr>
        <w:t xml:space="preserve">e administrativa ou de prestação </w:t>
      </w:r>
      <w:r w:rsidRPr="008E403D">
        <w:rPr>
          <w:rFonts w:ascii="Times New Roman" w:hAnsi="Times New Roman"/>
        </w:rPr>
        <w:t>direta ou indireta</w:t>
      </w:r>
      <w:r w:rsidRPr="008E403D">
        <w:rPr>
          <w:rFonts w:ascii="Times New Roman" w:hAnsi="Times New Roman"/>
        </w:rPr>
        <w:t xml:space="preserve"> dos bens ou serviços à população, exercida por órgão ou entidade da administração pública” (art. 2</w:t>
      </w:r>
      <w:r w:rsidRPr="008E403D">
        <w:rPr>
          <w:rFonts w:ascii="Times New Roman" w:hAnsi="Times New Roman"/>
        </w:rPr>
        <w:t>o</w:t>
      </w:r>
      <w:r w:rsidRPr="008E403D">
        <w:rPr>
          <w:rFonts w:ascii="Times New Roman" w:hAnsi="Times New Roman"/>
        </w:rPr>
        <w:t>, II), o que se coteja com a noção mais ampla de controle da boa governança. No plano internacional, o ac</w:t>
      </w:r>
      <w:r w:rsidRPr="008E403D">
        <w:rPr>
          <w:rFonts w:ascii="Times New Roman" w:hAnsi="Times New Roman"/>
        </w:rPr>
        <w:t>esso ao serviço público (adequado) consta da Declaração Universal dos Direitos Humanos de 1948 (para a qual “todo ser humano tem igual direito de acesso ao serviço público de seu país” - art. 21, 2 – além da preocupação com condições mínimas adequadas de v</w:t>
      </w:r>
      <w:r w:rsidRPr="008E403D">
        <w:rPr>
          <w:rFonts w:ascii="Times New Roman" w:hAnsi="Times New Roman"/>
        </w:rPr>
        <w:t>ida); deduzindo-se também da proteção que decorre do Pacto de San José da Costa Rica (Decreto 678/1992) ou no Pacto Internacional sobre Direitos Econômicos, Sociais e Culturais (Decreto 591/1992).</w:t>
      </w:r>
    </w:p>
    <w:p w14:paraId="4C9C9F31" w14:textId="77777777" w:rsidR="002A2A46" w:rsidRPr="008E403D" w:rsidRDefault="00C01245">
      <w:pPr>
        <w:pStyle w:val="Corpodetexto"/>
        <w:spacing w:after="0" w:line="360" w:lineRule="auto"/>
        <w:ind w:firstLine="850"/>
        <w:jc w:val="both"/>
        <w:rPr>
          <w:rFonts w:ascii="Times New Roman" w:hAnsi="Times New Roman"/>
        </w:rPr>
      </w:pPr>
      <w:r w:rsidRPr="008E403D">
        <w:rPr>
          <w:rFonts w:ascii="Times New Roman" w:hAnsi="Times New Roman"/>
        </w:rPr>
        <w:t>Em certos temas, como a proteção do meio ambiente equilibra</w:t>
      </w:r>
      <w:r w:rsidRPr="008E403D">
        <w:rPr>
          <w:rFonts w:ascii="Times New Roman" w:hAnsi="Times New Roman"/>
        </w:rPr>
        <w:t>do, a eventual omissão do controle externo (assim entendido também como serviço público adequado) toma ares ainda mais graves, em razão de princípios específicos como os de Prevenção e Precaução, que encarregam os órgãos de fiscalização de um dever notável</w:t>
      </w:r>
      <w:r w:rsidRPr="008E403D">
        <w:rPr>
          <w:rFonts w:ascii="Times New Roman" w:hAnsi="Times New Roman"/>
        </w:rPr>
        <w:t xml:space="preserve"> de averiguar a segurança das atividades mesmo em casos nos quais não haja indicação clara de prejuízos – pela gravidade dos bens protegidos (assim, SARLET; FENSTERSEIFER, 2019, p. 56).  </w:t>
      </w:r>
    </w:p>
    <w:p w14:paraId="2F93F53E" w14:textId="77777777" w:rsidR="002A2A46" w:rsidRPr="008E403D" w:rsidRDefault="00C01245">
      <w:pPr>
        <w:pStyle w:val="Corpodetexto"/>
        <w:spacing w:after="0" w:line="360" w:lineRule="auto"/>
        <w:ind w:firstLine="850"/>
        <w:jc w:val="both"/>
        <w:rPr>
          <w:rFonts w:ascii="Times New Roman" w:hAnsi="Times New Roman" w:hint="eastAsia"/>
        </w:rPr>
      </w:pPr>
      <w:r w:rsidRPr="008E403D">
        <w:rPr>
          <w:rFonts w:ascii="Times New Roman" w:hAnsi="Times New Roman"/>
        </w:rPr>
        <w:t>O tema perpassa a questão do formalismo positivista e dos resultados</w:t>
      </w:r>
      <w:r w:rsidRPr="008E403D">
        <w:rPr>
          <w:rFonts w:ascii="Times New Roman" w:hAnsi="Times New Roman"/>
        </w:rPr>
        <w:t xml:space="preserve"> exclusivamente contábeis, resultando impossível dissociar no cenário brasileiro a afirmação do direito fundamental à boa governança de mecanismos adequados de controle externo que viabilizem sua afirmação concreta.</w:t>
      </w:r>
    </w:p>
    <w:p w14:paraId="5A340837" w14:textId="77777777" w:rsidR="002A2A46" w:rsidRPr="008E403D" w:rsidRDefault="002A2A46">
      <w:pPr>
        <w:pStyle w:val="Corpodetexto"/>
        <w:spacing w:after="0" w:line="360" w:lineRule="auto"/>
        <w:ind w:firstLine="850"/>
        <w:jc w:val="both"/>
        <w:rPr>
          <w:rFonts w:ascii="Times New Roman" w:hAnsi="Times New Roman"/>
        </w:rPr>
      </w:pPr>
    </w:p>
    <w:p w14:paraId="192C04C4"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 xml:space="preserve">3 A ESSENCIALIDADE DA ATUAÇÃO DO </w:t>
      </w:r>
      <w:r w:rsidRPr="008E403D">
        <w:rPr>
          <w:rFonts w:ascii="Times New Roman" w:hAnsi="Times New Roman"/>
        </w:rPr>
        <w:t>MINISTÉRIO PÚBLICO BRASILEIRO NO CONTROLE EXTERNO DA ADMINISTRAÇÃO PÚBLICA</w:t>
      </w:r>
    </w:p>
    <w:p w14:paraId="48BFA46D" w14:textId="77777777" w:rsidR="002A2A46" w:rsidRPr="008E403D" w:rsidRDefault="002A2A46" w:rsidP="008E403D">
      <w:pPr>
        <w:pStyle w:val="Corpodetexto"/>
        <w:spacing w:after="0" w:line="360" w:lineRule="auto"/>
        <w:ind w:firstLine="850"/>
        <w:jc w:val="both"/>
        <w:rPr>
          <w:rFonts w:ascii="Times New Roman" w:hAnsi="Times New Roman"/>
        </w:rPr>
      </w:pPr>
    </w:p>
    <w:p w14:paraId="7B13BF8A" w14:textId="71BB791B"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 xml:space="preserve">Os instrumentos de controle da boa governança pressupõem mecanismos de controle que, no âmbito do serviço público (assim também no âmbito da boa governança) podem ser de natureza </w:t>
      </w:r>
      <w:r w:rsidRPr="008E403D">
        <w:rPr>
          <w:rFonts w:ascii="Times New Roman" w:hAnsi="Times New Roman"/>
        </w:rPr>
        <w:t xml:space="preserve">política, administrativa, jurisdicional ou popular. De forma articulada, anota-se que o controle político pode ser governamental (por nomeações e substituições etc.) e parlamentar (por comissões </w:t>
      </w:r>
      <w:r w:rsidRPr="008E403D">
        <w:rPr>
          <w:rFonts w:ascii="Times New Roman" w:hAnsi="Times New Roman"/>
        </w:rPr>
        <w:lastRenderedPageBreak/>
        <w:t>parlamentares de inquérito, processo de crimes de responsabil</w:t>
      </w:r>
      <w:r w:rsidRPr="008E403D">
        <w:rPr>
          <w:rFonts w:ascii="Times New Roman" w:hAnsi="Times New Roman"/>
        </w:rPr>
        <w:t>idade etc.). O controle administrativo pode ser interno ou externo (como no caso do controle externo da atividade policial pelo Ministério Público por meio de fiscalização e recomendações). O controle jurisdicional se dá por meio de ações cíveis ou crimina</w:t>
      </w:r>
      <w:r w:rsidRPr="008E403D">
        <w:rPr>
          <w:rFonts w:ascii="Times New Roman" w:hAnsi="Times New Roman"/>
        </w:rPr>
        <w:t>is (aqui mais uma vez destacada a atuação ministerial). Por sua vez, o controle popular decorre de mecanismos como o direito de representação, a participação em audiência, entre outros (</w:t>
      </w:r>
      <w:r w:rsidR="005A3ABD" w:rsidRPr="008E403D">
        <w:rPr>
          <w:rFonts w:ascii="Times New Roman" w:hAnsi="Times New Roman"/>
        </w:rPr>
        <w:t>SANTIN</w:t>
      </w:r>
      <w:r w:rsidRPr="008E403D">
        <w:rPr>
          <w:rFonts w:ascii="Times New Roman" w:hAnsi="Times New Roman"/>
        </w:rPr>
        <w:t xml:space="preserve">, 2013, </w:t>
      </w:r>
      <w:r w:rsidRPr="008E403D">
        <w:rPr>
          <w:rFonts w:ascii="Times New Roman" w:hAnsi="Times New Roman"/>
        </w:rPr>
        <w:t>p. 118 e seguintes).</w:t>
      </w:r>
    </w:p>
    <w:p w14:paraId="3FA7F816" w14:textId="418ECDAD"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De pronto se sublinha, assim, </w:t>
      </w:r>
      <w:r w:rsidRPr="008E403D">
        <w:rPr>
          <w:rFonts w:ascii="Times New Roman" w:hAnsi="Times New Roman"/>
        </w:rPr>
        <w:t xml:space="preserve">que a revisão judicial não é o único meio de controle legítimo da boa governança no Estado Democrático de Direito, nem o Ministério Público o único legitimado a exercê-lo; </w:t>
      </w:r>
      <w:r w:rsidR="00492D77" w:rsidRPr="008E403D">
        <w:rPr>
          <w:rFonts w:ascii="Times New Roman" w:hAnsi="Times New Roman"/>
        </w:rPr>
        <w:t xml:space="preserve">ao </w:t>
      </w:r>
      <w:r w:rsidRPr="008E403D">
        <w:rPr>
          <w:rFonts w:ascii="Times New Roman" w:hAnsi="Times New Roman"/>
        </w:rPr>
        <w:t>mesmo tempo em que se destaca que a pluralidade das instâncias de controle não po</w:t>
      </w:r>
      <w:r w:rsidRPr="008E403D">
        <w:rPr>
          <w:rFonts w:ascii="Times New Roman" w:hAnsi="Times New Roman"/>
        </w:rPr>
        <w:t>de, de modo algum, ser entendida como prejudicial à afirmação da essencialidade do direito fundamental correspondente, mas sim benéfica à medida que implica reforço e complementariedade.</w:t>
      </w:r>
    </w:p>
    <w:p w14:paraId="29E52DA6"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Mais ainda, a convivência de medidas judiciais com outras espécies de</w:t>
      </w:r>
      <w:r w:rsidRPr="008E403D">
        <w:rPr>
          <w:rFonts w:ascii="Times New Roman" w:hAnsi="Times New Roman"/>
        </w:rPr>
        <w:t xml:space="preserve"> controle não deslegitima as demais, nem implica sobreposição. Tratando desse aspecto, ainda que especialmente sobre políticas públicas em sentido estrito, Vanice Regina Lírio do Valle ponderou que:</w:t>
      </w:r>
    </w:p>
    <w:p w14:paraId="0817C861" w14:textId="77777777" w:rsidR="005A3ABD" w:rsidRPr="008E403D" w:rsidRDefault="005A3ABD" w:rsidP="005A3ABD">
      <w:pPr>
        <w:pStyle w:val="Textodenotaderodap"/>
        <w:suppressLineNumbers/>
        <w:ind w:left="1701"/>
        <w:jc w:val="both"/>
        <w:rPr>
          <w:rFonts w:ascii="Times New Roman" w:hAnsi="Times New Roman"/>
          <w:szCs w:val="20"/>
          <w:highlight w:val="white"/>
        </w:rPr>
      </w:pPr>
    </w:p>
    <w:p w14:paraId="581501FC" w14:textId="40220761" w:rsidR="002A2A46" w:rsidRPr="008E403D" w:rsidRDefault="00C01245" w:rsidP="008E403D">
      <w:pPr>
        <w:pStyle w:val="Textodenotaderodap"/>
        <w:suppressLineNumbers/>
        <w:ind w:left="2268"/>
        <w:jc w:val="both"/>
        <w:rPr>
          <w:rFonts w:ascii="Times New Roman" w:hAnsi="Times New Roman"/>
          <w:szCs w:val="20"/>
        </w:rPr>
      </w:pPr>
      <w:r w:rsidRPr="008E403D">
        <w:rPr>
          <w:rFonts w:ascii="Times New Roman" w:hAnsi="Times New Roman"/>
          <w:szCs w:val="20"/>
          <w:highlight w:val="white"/>
        </w:rPr>
        <w:t xml:space="preserve">[…] a discussão judicializada quanto aos imperativos de </w:t>
      </w:r>
      <w:r w:rsidRPr="008E403D">
        <w:rPr>
          <w:rFonts w:ascii="Times New Roman" w:hAnsi="Times New Roman"/>
          <w:szCs w:val="20"/>
          <w:highlight w:val="white"/>
        </w:rPr>
        <w:t>enunciação de políticas públicas pode permitir a superação de impasses de várias naturezas – inclusive aqueles eventualmente determinados pela superposição de sistemas de controle. Isso porque</w:t>
      </w:r>
      <w:r w:rsidRPr="008E403D">
        <w:rPr>
          <w:rFonts w:ascii="Times New Roman" w:hAnsi="Times New Roman"/>
          <w:szCs w:val="20"/>
          <w:highlight w:val="white"/>
        </w:rPr>
        <w:t xml:space="preserve"> é possível (aliás, nem mesmo é infrequente) que uma determinada política pública seja identificada como necessária implementar, e encontre bloqueio pela atuação de outras instâncias que intervêm no processo […] (</w:t>
      </w:r>
      <w:r w:rsidRPr="008E403D">
        <w:rPr>
          <w:rFonts w:ascii="Times New Roman" w:hAnsi="Times New Roman"/>
          <w:szCs w:val="20"/>
          <w:highlight w:val="white"/>
          <w:lang w:val="en-US"/>
        </w:rPr>
        <w:t>VALLE, 2009</w:t>
      </w:r>
      <w:r w:rsidRPr="008E403D">
        <w:rPr>
          <w:rFonts w:ascii="Times New Roman" w:hAnsi="Times New Roman"/>
          <w:szCs w:val="20"/>
          <w:highlight w:val="white"/>
        </w:rPr>
        <w:t>, p. 151)</w:t>
      </w:r>
      <w:r w:rsidR="005A3ABD" w:rsidRPr="008E403D">
        <w:rPr>
          <w:rFonts w:ascii="Times New Roman" w:hAnsi="Times New Roman"/>
          <w:szCs w:val="20"/>
        </w:rPr>
        <w:t>.</w:t>
      </w:r>
    </w:p>
    <w:p w14:paraId="5033AB96" w14:textId="77777777" w:rsidR="005A3ABD" w:rsidRPr="0008461C" w:rsidRDefault="005A3ABD" w:rsidP="008E403D">
      <w:pPr>
        <w:pStyle w:val="Textodenotaderodap"/>
        <w:suppressLineNumbers/>
        <w:ind w:left="1701"/>
        <w:jc w:val="both"/>
        <w:rPr>
          <w:rFonts w:hint="eastAsia"/>
          <w:szCs w:val="20"/>
        </w:rPr>
      </w:pPr>
    </w:p>
    <w:p w14:paraId="38FA01BB" w14:textId="77777777"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Entre os diferentes </w:t>
      </w:r>
      <w:r w:rsidRPr="008E403D">
        <w:rPr>
          <w:rFonts w:ascii="Times New Roman" w:hAnsi="Times New Roman"/>
        </w:rPr>
        <w:t>legitimados para o exercício do controle externo no ordenamento brasileiro, destacam-se as atribuições cumulativas que foram encarregadas sobre a instituição do Ministério Público, de modo ambivalente sobre o âmbito administrativo e judicial, assinaladas e</w:t>
      </w:r>
      <w:r w:rsidRPr="008E403D">
        <w:rPr>
          <w:rFonts w:ascii="Times New Roman" w:hAnsi="Times New Roman"/>
        </w:rPr>
        <w:t>m meio ao asseguramento de autonomia e independência que o distinguem no cenário político-institucional brasileiro.</w:t>
      </w:r>
    </w:p>
    <w:p w14:paraId="6A212CF6" w14:textId="77777777"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Conforme o registro sintético exibido pelo Ministério Público da União em seu sítio na rede mundial de computadores (sem ano e página, com e</w:t>
      </w:r>
      <w:r w:rsidRPr="008E403D">
        <w:rPr>
          <w:rFonts w:ascii="Times New Roman" w:hAnsi="Times New Roman"/>
        </w:rPr>
        <w:t>ndereço eletrônico ao final indicado), rememora-se que essa afirmação se desenvolveu historicamente, consolidando-se com a reestruturação institucional de 1988.</w:t>
      </w:r>
    </w:p>
    <w:p w14:paraId="15C6C4E4" w14:textId="38E4B7F0"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No período colonial, o Brasil observa</w:t>
      </w:r>
      <w:r w:rsidR="00492D77" w:rsidRPr="008E403D">
        <w:rPr>
          <w:rFonts w:ascii="Times New Roman" w:hAnsi="Times New Roman"/>
        </w:rPr>
        <w:t>v</w:t>
      </w:r>
      <w:r w:rsidRPr="008E403D">
        <w:rPr>
          <w:rFonts w:ascii="Times New Roman" w:hAnsi="Times New Roman"/>
        </w:rPr>
        <w:t xml:space="preserve">a o </w:t>
      </w:r>
      <w:r w:rsidRPr="008E403D">
        <w:rPr>
          <w:rFonts w:ascii="Times New Roman" w:hAnsi="Times New Roman"/>
        </w:rPr>
        <w:t>direito lusitano e não contava com o Ministério</w:t>
      </w:r>
      <w:r w:rsidRPr="008E403D">
        <w:rPr>
          <w:rFonts w:ascii="Times New Roman" w:hAnsi="Times New Roman"/>
        </w:rPr>
        <w:t xml:space="preserve"> Público como instituição definida. As Ordenações Manuelinas de 1521 e as Ordenações Filipinas de 1603 previam a atuação de promotores de justiça como fiscais da lei e encarregados da acusação criminal, ao lado do cargo de procurador dos feitos da Coroa (d</w:t>
      </w:r>
      <w:r w:rsidRPr="008E403D">
        <w:rPr>
          <w:rFonts w:ascii="Times New Roman" w:hAnsi="Times New Roman"/>
        </w:rPr>
        <w:t xml:space="preserve">efensor da Coroa) e de procurador da Fazenda (defensor do fisco). </w:t>
      </w:r>
    </w:p>
    <w:p w14:paraId="057C2B69" w14:textId="39713A0B"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lastRenderedPageBreak/>
        <w:t>Já</w:t>
      </w:r>
      <w:r w:rsidRPr="008E403D">
        <w:rPr>
          <w:rFonts w:ascii="Times New Roman" w:hAnsi="Times New Roman"/>
        </w:rPr>
        <w:t xml:space="preserve"> em 1832, o Código de Processo Penal do Império deu início à sistematização do Ministério Público, e na república, o Decreto nº 848, de 11/09/1890 definiu a estrutura e atribuições do Mi</w:t>
      </w:r>
      <w:r w:rsidRPr="008E403D">
        <w:rPr>
          <w:rFonts w:ascii="Times New Roman" w:hAnsi="Times New Roman"/>
        </w:rPr>
        <w:t xml:space="preserve">nistério Público federal, mas ainda com vinculação </w:t>
      </w:r>
      <w:r w:rsidR="00492D77" w:rsidRPr="008E403D">
        <w:rPr>
          <w:rFonts w:ascii="Times New Roman" w:hAnsi="Times New Roman"/>
        </w:rPr>
        <w:t>o</w:t>
      </w:r>
      <w:r w:rsidRPr="008E403D">
        <w:rPr>
          <w:rFonts w:ascii="Times New Roman" w:hAnsi="Times New Roman"/>
        </w:rPr>
        <w:t xml:space="preserve">a cumprimento das ordens de Governo. Novas funções se acumularam o Código Civil de 1917, os Códigos de Processo Civil de 1939 e de 1973, o Código Penal de 1940 e o Código de Processo Penal de 1941, com o </w:t>
      </w:r>
      <w:r w:rsidRPr="008E403D">
        <w:rPr>
          <w:rFonts w:ascii="Times New Roman" w:hAnsi="Times New Roman"/>
        </w:rPr>
        <w:t xml:space="preserve">detalhamento de funções institucionais. </w:t>
      </w:r>
    </w:p>
    <w:p w14:paraId="079A00B0" w14:textId="09143A4B"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Em 1951, a Lei Federal nº 1.341 criou o Ministério Público da União, vinculando-o ainda ao Poder Executivo, sendo que, em 1981, a Lei Complementar nº 40 apresentou o Estatuto do Ministério Público, incluindo </w:t>
      </w:r>
      <w:r w:rsidRPr="008E403D">
        <w:rPr>
          <w:rFonts w:ascii="Times New Roman" w:hAnsi="Times New Roman"/>
        </w:rPr>
        <w:t>garantias, atribuições e vedações características, vindo depois, em 1985, a Lei 7.347 (Lei da Ação Civil Pública)</w:t>
      </w:r>
      <w:r w:rsidR="00492D77" w:rsidRPr="008E403D">
        <w:rPr>
          <w:rFonts w:ascii="Times New Roman" w:hAnsi="Times New Roman"/>
        </w:rPr>
        <w:t>,</w:t>
      </w:r>
      <w:r w:rsidRPr="008E403D">
        <w:rPr>
          <w:rFonts w:ascii="Times New Roman" w:hAnsi="Times New Roman"/>
        </w:rPr>
        <w:t xml:space="preserve"> que conferiu maiores e mais amplos encargos para a atuação institucional na defesa dos interesses difusos e coletivos. </w:t>
      </w:r>
    </w:p>
    <w:p w14:paraId="3A19137D" w14:textId="0F20239D"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As Constituições Naci</w:t>
      </w:r>
      <w:r w:rsidRPr="008E403D">
        <w:rPr>
          <w:rFonts w:ascii="Times New Roman" w:hAnsi="Times New Roman"/>
        </w:rPr>
        <w:t xml:space="preserve">onais, por sua vez, alternaram menções mais ou menos detalhadas sobre sua atuação, coincidindo sua menor importância com períodos de crise democrática (como no caso da Constituição de 1937). Assim, as </w:t>
      </w:r>
      <w:r w:rsidRPr="008E403D">
        <w:rPr>
          <w:bCs/>
        </w:rPr>
        <w:t>Constituições de 1824 e 1891 não se referiam expressame</w:t>
      </w:r>
      <w:r w:rsidRPr="008E403D">
        <w:rPr>
          <w:bCs/>
        </w:rPr>
        <w:t xml:space="preserve">nte às atribuições do </w:t>
      </w:r>
      <w:r w:rsidRPr="008E403D">
        <w:rPr>
          <w:rFonts w:ascii="Times New Roman" w:hAnsi="Times New Roman"/>
        </w:rPr>
        <w:t xml:space="preserve">Ministério Público, enquanto a </w:t>
      </w:r>
      <w:r w:rsidRPr="008E403D">
        <w:rPr>
          <w:bCs/>
        </w:rPr>
        <w:t xml:space="preserve">Constituição de 1934 fez </w:t>
      </w:r>
      <w:r w:rsidRPr="008E403D">
        <w:rPr>
          <w:rFonts w:ascii="Times New Roman" w:hAnsi="Times New Roman"/>
        </w:rPr>
        <w:t xml:space="preserve">referência expressa ao Ministério Público no capítulo "Dos órgãos de cooperação", prevendo lei federal para a organização do Ministério Público da União, sem referência expressa </w:t>
      </w:r>
      <w:r w:rsidRPr="008E403D">
        <w:rPr>
          <w:rFonts w:ascii="Times New Roman" w:hAnsi="Times New Roman"/>
        </w:rPr>
        <w:t>ao Ministério Público</w:t>
      </w:r>
      <w:r w:rsidRPr="008E403D">
        <w:rPr>
          <w:rFonts w:ascii="Times New Roman" w:hAnsi="Times New Roman"/>
        </w:rPr>
        <w:t xml:space="preserve"> na </w:t>
      </w:r>
      <w:r w:rsidRPr="008E403D">
        <w:rPr>
          <w:bCs/>
        </w:rPr>
        <w:t>Constituição de 1937</w:t>
      </w:r>
      <w:r w:rsidRPr="008E403D">
        <w:rPr>
          <w:rFonts w:ascii="Times New Roman" w:hAnsi="Times New Roman"/>
        </w:rPr>
        <w:t>. Mas</w:t>
      </w:r>
      <w:r w:rsidRPr="008E403D">
        <w:rPr>
          <w:rFonts w:ascii="Times New Roman" w:hAnsi="Times New Roman"/>
        </w:rPr>
        <w:t xml:space="preserve"> a </w:t>
      </w:r>
      <w:r w:rsidRPr="008E403D">
        <w:rPr>
          <w:bCs/>
        </w:rPr>
        <w:t xml:space="preserve">Constituição de 1946 fez </w:t>
      </w:r>
      <w:r w:rsidRPr="008E403D">
        <w:rPr>
          <w:rFonts w:ascii="Times New Roman" w:hAnsi="Times New Roman"/>
        </w:rPr>
        <w:t xml:space="preserve">referência ao Ministério Público, em título próprio, sem vinculação com os outros poderes, sendo que a  </w:t>
      </w:r>
      <w:r w:rsidRPr="008E403D">
        <w:rPr>
          <w:bCs/>
        </w:rPr>
        <w:t>Constituição de 1967 trouxe o</w:t>
      </w:r>
      <w:r w:rsidRPr="008E403D">
        <w:rPr>
          <w:rFonts w:ascii="Times New Roman" w:hAnsi="Times New Roman"/>
        </w:rPr>
        <w:t xml:space="preserve"> Ministério Público entre as disposições at</w:t>
      </w:r>
      <w:r w:rsidRPr="008E403D">
        <w:rPr>
          <w:rFonts w:ascii="Times New Roman" w:hAnsi="Times New Roman"/>
        </w:rPr>
        <w:t xml:space="preserve">inentes ao Poder Judiciário, ao passo que a </w:t>
      </w:r>
      <w:r w:rsidRPr="008E403D">
        <w:rPr>
          <w:bCs/>
        </w:rPr>
        <w:t>Emenda constitucional de 1969 o incluiu n</w:t>
      </w:r>
      <w:r w:rsidRPr="008E403D">
        <w:rPr>
          <w:rFonts w:ascii="Times New Roman" w:hAnsi="Times New Roman"/>
        </w:rPr>
        <w:t xml:space="preserve">o Poder Executivo. </w:t>
      </w:r>
    </w:p>
    <w:p w14:paraId="6F0D7B0C"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 xml:space="preserve">Coube precisamente à </w:t>
      </w:r>
      <w:r w:rsidRPr="008E403D">
        <w:rPr>
          <w:bCs/>
        </w:rPr>
        <w:t xml:space="preserve">Constituição de 1988, inserida no período de redemocratização do país, a definição dos contornos gerais da atuação ministerial em </w:t>
      </w:r>
      <w:r w:rsidRPr="008E403D">
        <w:rPr>
          <w:bCs/>
        </w:rPr>
        <w:t xml:space="preserve">campo intitulado </w:t>
      </w:r>
      <w:r w:rsidRPr="008E403D">
        <w:rPr>
          <w:rFonts w:ascii="Times New Roman" w:hAnsi="Times New Roman"/>
        </w:rPr>
        <w:t>"Das funções essenciais à Justiça", explicitadas suas garantias e vedações.</w:t>
      </w:r>
    </w:p>
    <w:p w14:paraId="733676FD" w14:textId="54D0097B"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Tratando especialmente de direitos coletivos (em sentido amplo), o artigo 5</w:t>
      </w:r>
      <w:r w:rsidRPr="008E403D">
        <w:rPr>
          <w:rFonts w:ascii="Times New Roman" w:hAnsi="Times New Roman"/>
        </w:rPr>
        <w:t>o</w:t>
      </w:r>
      <w:r w:rsidRPr="008E403D">
        <w:rPr>
          <w:rFonts w:ascii="Times New Roman" w:hAnsi="Times New Roman"/>
        </w:rPr>
        <w:t xml:space="preserve"> da referida Lei 7.347/85 (Lei da Ação Civil Pública)</w:t>
      </w:r>
      <w:r w:rsidR="00492D77" w:rsidRPr="008E403D">
        <w:rPr>
          <w:rFonts w:ascii="Times New Roman" w:hAnsi="Times New Roman"/>
        </w:rPr>
        <w:t>,</w:t>
      </w:r>
      <w:r w:rsidRPr="008E403D">
        <w:rPr>
          <w:rFonts w:ascii="Times New Roman" w:hAnsi="Times New Roman"/>
        </w:rPr>
        <w:t xml:space="preserve"> em sua redação original</w:t>
      </w:r>
      <w:r w:rsidR="00492D77" w:rsidRPr="008E403D">
        <w:rPr>
          <w:rFonts w:ascii="Times New Roman" w:hAnsi="Times New Roman"/>
        </w:rPr>
        <w:t>,</w:t>
      </w:r>
      <w:r w:rsidRPr="008E403D">
        <w:rPr>
          <w:rFonts w:ascii="Times New Roman" w:hAnsi="Times New Roman"/>
        </w:rPr>
        <w:t xml:space="preserve"> previa </w:t>
      </w:r>
      <w:r w:rsidRPr="008E403D">
        <w:rPr>
          <w:rFonts w:ascii="Times New Roman" w:hAnsi="Times New Roman"/>
        </w:rPr>
        <w:t>o Ministério Público como instituição independente para a proteção do interesse público primário (com legitimidade concorrente dos entes da própria Administração Pública direta ou indireta ou demais entes cíveis legitimados). A posição do Ministério Públic</w:t>
      </w:r>
      <w:r w:rsidRPr="008E403D">
        <w:rPr>
          <w:rFonts w:ascii="Times New Roman" w:hAnsi="Times New Roman"/>
        </w:rPr>
        <w:t>o, em relação aos demais legitimados para a ação civil pública</w:t>
      </w:r>
      <w:r w:rsidR="00492D77" w:rsidRPr="008E403D">
        <w:rPr>
          <w:rFonts w:ascii="Times New Roman" w:hAnsi="Times New Roman"/>
        </w:rPr>
        <w:t>,</w:t>
      </w:r>
      <w:r w:rsidRPr="008E403D">
        <w:rPr>
          <w:rFonts w:ascii="Times New Roman" w:hAnsi="Times New Roman"/>
        </w:rPr>
        <w:t xml:space="preserve"> só foi alterada em parte com a inclusão de legitimidade concomitante à Defensoria Pública (também órgão de Estado dotado de relativas autonomia e independência semelhantes às do Ministério Púb</w:t>
      </w:r>
      <w:r w:rsidRPr="008E403D">
        <w:rPr>
          <w:rFonts w:ascii="Times New Roman" w:hAnsi="Times New Roman"/>
        </w:rPr>
        <w:t>lico) em decorrência da Lei n. 11.448/2007, o que se deu mais de vinte anos depois da publicação do Texto legal original.</w:t>
      </w:r>
    </w:p>
    <w:p w14:paraId="0B7FBD07" w14:textId="19E362F1"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A atuação do Ministério Público em meio ao controle externo da boa governança na Constituição de 1988 também é complementada pela prev</w:t>
      </w:r>
      <w:r w:rsidRPr="008E403D">
        <w:rPr>
          <w:rFonts w:ascii="Times New Roman" w:hAnsi="Times New Roman"/>
        </w:rPr>
        <w:t xml:space="preserve">isão de encargo também sobre a fiscalização </w:t>
      </w:r>
      <w:r w:rsidRPr="008E403D">
        <w:rPr>
          <w:rFonts w:ascii="Times New Roman" w:hAnsi="Times New Roman"/>
        </w:rPr>
        <w:lastRenderedPageBreak/>
        <w:t xml:space="preserve">dos serviços públicos e de modo geral </w:t>
      </w:r>
      <w:r w:rsidR="00492D77" w:rsidRPr="008E403D">
        <w:rPr>
          <w:rFonts w:ascii="Times New Roman" w:hAnsi="Times New Roman"/>
        </w:rPr>
        <w:t>d</w:t>
      </w:r>
      <w:r w:rsidRPr="008E403D">
        <w:rPr>
          <w:rFonts w:ascii="Times New Roman" w:hAnsi="Times New Roman"/>
        </w:rPr>
        <w:t>os direitos difusos (e promoção de medidas corretivas e sancionatórias de desvios), para além da legitimação privativa que lhe foi instituída para a promoção de medidas iner</w:t>
      </w:r>
      <w:r w:rsidRPr="008E403D">
        <w:rPr>
          <w:rFonts w:ascii="Times New Roman" w:hAnsi="Times New Roman"/>
        </w:rPr>
        <w:t>entes à ação penal pública (artigos 6</w:t>
      </w:r>
      <w:r w:rsidRPr="008E403D">
        <w:rPr>
          <w:rFonts w:ascii="Times New Roman" w:hAnsi="Times New Roman"/>
        </w:rPr>
        <w:t>o</w:t>
      </w:r>
      <w:r w:rsidRPr="008E403D">
        <w:rPr>
          <w:rFonts w:ascii="Times New Roman" w:hAnsi="Times New Roman"/>
        </w:rPr>
        <w:t>, 127 e 129, I e III, da Constituição da República).</w:t>
      </w:r>
    </w:p>
    <w:p w14:paraId="3E83656C"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No âmbito infraconstitucional, os limites dessa atuação plural foi confirmada pelas Leis Orgânicas do Ministério Público, com a previsão de atribuições para promoção</w:t>
      </w:r>
      <w:r w:rsidRPr="008E403D">
        <w:rPr>
          <w:rFonts w:ascii="Times New Roman" w:hAnsi="Times New Roman"/>
        </w:rPr>
        <w:t xml:space="preserve"> do inquérito civil e da ação civil pública para defesa de direitos coletivos (avançando para além do previsto pela própria Lei de Ação Civil Pública), como se depreende do artigo 25, inciso IV, da Lei n. 8.625/93 (Lei Orgânica Nacional do Ministério Públi</w:t>
      </w:r>
      <w:r w:rsidRPr="008E403D">
        <w:rPr>
          <w:rFonts w:ascii="Times New Roman" w:hAnsi="Times New Roman"/>
        </w:rPr>
        <w:t>co dos Estados e do Distrito Federal) e do artigo 6</w:t>
      </w:r>
      <w:r w:rsidRPr="008E403D">
        <w:rPr>
          <w:rFonts w:ascii="Times New Roman" w:hAnsi="Times New Roman"/>
        </w:rPr>
        <w:t>o</w:t>
      </w:r>
      <w:r w:rsidRPr="008E403D">
        <w:rPr>
          <w:rFonts w:ascii="Times New Roman" w:hAnsi="Times New Roman"/>
        </w:rPr>
        <w:t>, inciso VII, da Lei Complementar n. 75/93 (Lei Orgânica do Ministério Público da União).</w:t>
      </w:r>
    </w:p>
    <w:p w14:paraId="51D6BCB2" w14:textId="276FDA94"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Ainda do ponto de vista da responsabilização cível por irregularidades na gestão pública, seguiu-se a redação orig</w:t>
      </w:r>
      <w:r w:rsidRPr="008E403D">
        <w:rPr>
          <w:rFonts w:ascii="Times New Roman" w:hAnsi="Times New Roman"/>
        </w:rPr>
        <w:t>inal do artigo 17 da Lei n. 8.429/92 (Lei de Improbidade Administrativa)</w:t>
      </w:r>
      <w:r w:rsidR="00492D77" w:rsidRPr="008E403D">
        <w:rPr>
          <w:rFonts w:ascii="Times New Roman" w:hAnsi="Times New Roman"/>
        </w:rPr>
        <w:t>,</w:t>
      </w:r>
      <w:r w:rsidRPr="008E403D">
        <w:rPr>
          <w:rFonts w:ascii="Times New Roman" w:hAnsi="Times New Roman"/>
        </w:rPr>
        <w:t xml:space="preserve"> que indicou o Ministério Público ao lado dos próprios entes interessados como legitimados à ação de responsabilidade correspondente (contexto que se alterou recentemente para isolame</w:t>
      </w:r>
      <w:r w:rsidRPr="008E403D">
        <w:rPr>
          <w:rFonts w:ascii="Times New Roman" w:hAnsi="Times New Roman"/>
        </w:rPr>
        <w:t>nto do Ministério Público nessa posição, inclusive, com a alteração conferida pela Lei n. 14.230/21, depois afastada pelo julgamento das Ações Diretas de Inconstitucionalidade n. 7042 e 7043 em 31 de agosto de 2022).</w:t>
      </w:r>
    </w:p>
    <w:p w14:paraId="3611D80C"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Pela expressão histórica de atribuições</w:t>
      </w:r>
      <w:r w:rsidRPr="008E403D">
        <w:rPr>
          <w:rFonts w:ascii="Times New Roman" w:hAnsi="Times New Roman"/>
        </w:rPr>
        <w:t xml:space="preserve"> múltiplas (e também exclusivas em alguns aspectos) o Ministério Público brasileiro se assentou como elemento indissociável do controle externo da Administração Pública e da noção contemporânea de boa governança. Chegou a ser comparado à figura estrangeira</w:t>
      </w:r>
      <w:r w:rsidRPr="008E403D">
        <w:rPr>
          <w:rFonts w:ascii="Times New Roman" w:hAnsi="Times New Roman"/>
        </w:rPr>
        <w:t xml:space="preserve"> do</w:t>
      </w:r>
      <w:r w:rsidRPr="008E403D">
        <w:rPr>
          <w:rFonts w:ascii="Times New Roman" w:hAnsi="Times New Roman"/>
        </w:rPr>
        <w:t xml:space="preserve"> Ombudsman</w:t>
      </w:r>
      <w:r w:rsidRPr="008E403D">
        <w:rPr>
          <w:rFonts w:ascii="Times New Roman" w:hAnsi="Times New Roman"/>
        </w:rPr>
        <w:t>, cujo conceito moderno remete à Constituição sueca de 1809, que previu a designação pelo parlamento de um comissário encarregado precisamente de fiscalizar a Administração Pública (ISMAIL FILHO, 2015, p. 115). Trata-se de um conceito que avançou pelos paí</w:t>
      </w:r>
      <w:r w:rsidRPr="008E403D">
        <w:rPr>
          <w:rFonts w:ascii="Times New Roman" w:hAnsi="Times New Roman"/>
        </w:rPr>
        <w:t>ses escandinavos (como Finlândia e Dinamarca) e diferentes localidades europeias, como Reino Unido (1967), França (1973), Portugal (1975), Espanha (1978) e Grécia (1997), incluindo o alcance de posição junto à União Europeia mediante previsão no Tratado in</w:t>
      </w:r>
      <w:r w:rsidRPr="008E403D">
        <w:rPr>
          <w:rFonts w:ascii="Times New Roman" w:hAnsi="Times New Roman"/>
        </w:rPr>
        <w:t xml:space="preserve">stitutivo correspondente (Maastricht, Holanda, 1992), precisamente para fiscalização do bom funcionamento das instituições europeias. </w:t>
      </w:r>
    </w:p>
    <w:p w14:paraId="659A26F7"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Conforme o mesmo autor (ISMAIL FILHO, 2015, p. 115), a Assembleia Constituinte brasileira na década de 1980 chegou a incl</w:t>
      </w:r>
      <w:r w:rsidRPr="008E403D">
        <w:rPr>
          <w:rFonts w:ascii="Times New Roman" w:hAnsi="Times New Roman"/>
        </w:rPr>
        <w:t>uir uma figura correspondente ao</w:t>
      </w:r>
      <w:r w:rsidRPr="008E403D">
        <w:rPr>
          <w:rFonts w:ascii="Times New Roman" w:hAnsi="Times New Roman"/>
        </w:rPr>
        <w:t xml:space="preserve"> Ombudsman</w:t>
      </w:r>
      <w:r w:rsidRPr="008E403D">
        <w:rPr>
          <w:rFonts w:ascii="Times New Roman" w:hAnsi="Times New Roman"/>
        </w:rPr>
        <w:t xml:space="preserve"> para o Brasil, no artigo 56 do anteprojeto da Constituição, ainda em 1986, com o múnus precisamente de “zelar pelo efetivo respeito dos poderes do Estado aos direitos assegurados nesta Constituição, apurando abuso</w:t>
      </w:r>
      <w:r w:rsidRPr="008E403D">
        <w:rPr>
          <w:rFonts w:ascii="Times New Roman" w:hAnsi="Times New Roman"/>
        </w:rPr>
        <w:t>s e omissões de qualquer autoridade e indicando aos órgãos competentes as medidas necessárias à sua correção ou punição”. Mas – não tendo sido admitida a previsão específica - as atribuições que caberiam àquele foram acumuladas ao Ministério Público, conso</w:t>
      </w:r>
      <w:r w:rsidRPr="008E403D">
        <w:rPr>
          <w:rFonts w:ascii="Times New Roman" w:hAnsi="Times New Roman"/>
        </w:rPr>
        <w:t xml:space="preserve">lidando historicamente sua posição alinhada como elemento integrante essencial do controle externo da atividade administrativa pública. </w:t>
      </w:r>
      <w:r w:rsidRPr="008E403D">
        <w:rPr>
          <w:rFonts w:ascii="Times New Roman" w:hAnsi="Times New Roman"/>
        </w:rPr>
        <w:lastRenderedPageBreak/>
        <w:t xml:space="preserve">Ainda que a nomenclatura estrangeira não tenha sido positivada, a consolidação histórica do Ministério Público como uma </w:t>
      </w:r>
      <w:r w:rsidRPr="008E403D">
        <w:rPr>
          <w:rFonts w:ascii="Times New Roman" w:hAnsi="Times New Roman"/>
        </w:rPr>
        <w:t>instituição à parte e fiscalizadora em relação aos Poderes tradicionais da República (Executivo, Legislativo e Judiciário) transpareceu também, depois, no âmbito da regulação de sua disciplina fiscal (arts. 9º, 20 e 54 da Lei Complementar nº 101/00) (ISMAI</w:t>
      </w:r>
      <w:r w:rsidRPr="008E403D">
        <w:rPr>
          <w:rFonts w:ascii="Times New Roman" w:hAnsi="Times New Roman"/>
        </w:rPr>
        <w:t>L FILHO, 2015, p. 119).</w:t>
      </w:r>
    </w:p>
    <w:p w14:paraId="65D5AD11" w14:textId="110048DB"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O assentamento do direito fundamental à boa governança no Brasil, de consequência, implica necessariamente tratar das atribuições judiciais e s</w:t>
      </w:r>
      <w:r w:rsidR="00492D77" w:rsidRPr="008E403D">
        <w:rPr>
          <w:rFonts w:ascii="Times New Roman" w:hAnsi="Times New Roman"/>
        </w:rPr>
        <w:t>o</w:t>
      </w:r>
      <w:r w:rsidRPr="008E403D">
        <w:rPr>
          <w:rFonts w:ascii="Times New Roman" w:hAnsi="Times New Roman"/>
        </w:rPr>
        <w:t>cio</w:t>
      </w:r>
      <w:r w:rsidRPr="008E403D">
        <w:rPr>
          <w:rFonts w:ascii="Times New Roman" w:hAnsi="Times New Roman"/>
        </w:rPr>
        <w:t xml:space="preserve">mediadoras (extrajudiciais) acumuladas pelo Ministério Público. Se o asseguramento </w:t>
      </w:r>
      <w:r w:rsidRPr="008E403D">
        <w:rPr>
          <w:rFonts w:ascii="Times New Roman" w:hAnsi="Times New Roman"/>
        </w:rPr>
        <w:t>de instrumentos imprescindíveis à afirmação de direitos fundamentais sociais no cenário contemporâneo exige controle externo e, em especial, capacidade de controle jurídico amplo e sindicabilidade para além de mero controle financeiro (com atenção a todo o</w:t>
      </w:r>
      <w:r w:rsidRPr="008E403D">
        <w:rPr>
          <w:rFonts w:ascii="Times New Roman" w:hAnsi="Times New Roman"/>
        </w:rPr>
        <w:t xml:space="preserve"> cabedal principiológico que anima o Estado Democrático de Direito), é de concluir-se que a constituição do Ministério Público historicamente consolidada por múltiplas atribuições (a certo ponto exclusivas) se traduz como um elemento intrínseco corresponde</w:t>
      </w:r>
      <w:r w:rsidRPr="008E403D">
        <w:rPr>
          <w:rFonts w:ascii="Times New Roman" w:hAnsi="Times New Roman"/>
        </w:rPr>
        <w:t xml:space="preserve">nte à própria perspectiva da boa governança. </w:t>
      </w:r>
    </w:p>
    <w:p w14:paraId="515D4F20"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A presença fortalecida da instituição do Ministério Público tem sido em grande parte responsável pela promoção de uma nova visão sobre a boa governança e, sem ela, resultaria claudicante o tripé sustentador dos</w:t>
      </w:r>
      <w:r w:rsidRPr="008E403D">
        <w:rPr>
          <w:rFonts w:ascii="Times New Roman" w:hAnsi="Times New Roman"/>
        </w:rPr>
        <w:t xml:space="preserve"> direitos sociais por meio de sua enunciação, atividade estatal reguladora e asseguramento de instrumentos para sua efetivação na realidade social.</w:t>
      </w:r>
    </w:p>
    <w:p w14:paraId="03B15253"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Por outro lado, como a boa governança não se satisfaz com a mera análise financeira sobre a atividade admini</w:t>
      </w:r>
      <w:r w:rsidRPr="008E403D">
        <w:rPr>
          <w:rFonts w:ascii="Times New Roman" w:hAnsi="Times New Roman"/>
        </w:rPr>
        <w:t>strativa, também o asseguramento de instrumentos de efetivação dos direitos sociais no âmbito do Ministério Público não se satisfaz com a mera conferência normativa de legitimidade processual e independência que não se reproduzam em efetiva organização efi</w:t>
      </w:r>
      <w:r w:rsidRPr="008E403D">
        <w:rPr>
          <w:rFonts w:ascii="Times New Roman" w:hAnsi="Times New Roman"/>
        </w:rPr>
        <w:t>ciente da atividade ministerial e participação ampla nos procedimentos decisórios relacionados à coisa pública. Vale dizer, de nada adianta declarar a existência do controle externo por meio de atividade fiscalizatória e de representação judicial pelo Mini</w:t>
      </w:r>
      <w:r w:rsidRPr="008E403D">
        <w:rPr>
          <w:rFonts w:ascii="Times New Roman" w:hAnsi="Times New Roman"/>
        </w:rPr>
        <w:t>stério Público, se a instituição ministerial não estiver dotada de membros e equipes de apoio qualificados, bem capacitados para o exercício de atividades especializadas e que tenham à disposição instrumentais compatíveis com a gravidade da função, conside</w:t>
      </w:r>
      <w:r w:rsidRPr="008E403D">
        <w:rPr>
          <w:rFonts w:ascii="Times New Roman" w:hAnsi="Times New Roman"/>
        </w:rPr>
        <w:t>rados desde os equipamentos para operação dos sistemas informatizados até mecanismos de alta tecnologia devotados a medidas de inteligência.</w:t>
      </w:r>
    </w:p>
    <w:p w14:paraId="44AFE982"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Em certa medida, a dotação de meios adequados para atuação do Ministério Público pode ser compreendida no ordenamen</w:t>
      </w:r>
      <w:r w:rsidRPr="008E403D">
        <w:rPr>
          <w:rFonts w:ascii="Times New Roman" w:hAnsi="Times New Roman"/>
        </w:rPr>
        <w:t>to brasileiro historicamente assentado também como uma espécie de serviço público componente do próprio contexto mais amplo de boa governança. Por isso mesmo, é bom lembrar que a própria atuação das instituições componentes do Ministério Público está sujei</w:t>
      </w:r>
      <w:r w:rsidRPr="008E403D">
        <w:rPr>
          <w:rFonts w:ascii="Times New Roman" w:hAnsi="Times New Roman"/>
        </w:rPr>
        <w:t xml:space="preserve">ta a controle institucional também dirigido pelo ponto de vista boa governança, como se salienta no que </w:t>
      </w:r>
      <w:r w:rsidRPr="008E403D">
        <w:rPr>
          <w:rFonts w:ascii="Times New Roman" w:hAnsi="Times New Roman"/>
        </w:rPr>
        <w:lastRenderedPageBreak/>
        <w:t>diz respeito à atuação fiscalizadora e orientadora no contexto dos órgãos correcionais (</w:t>
      </w:r>
      <w:r w:rsidRPr="008E403D">
        <w:rPr>
          <w:rFonts w:ascii="Times New Roman" w:hAnsi="Times New Roman"/>
        </w:rPr>
        <w:t>SUXBERGER, 2017, p. 39 e seguintes).</w:t>
      </w:r>
    </w:p>
    <w:p w14:paraId="2B9DF246" w14:textId="7F1077E6"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Essa constatação tem conseq</w:t>
      </w:r>
      <w:r w:rsidRPr="008E403D">
        <w:rPr>
          <w:rFonts w:ascii="Times New Roman" w:hAnsi="Times New Roman"/>
        </w:rPr>
        <w:t xml:space="preserve">uências graves. A positividade jurídico-constitucional implica (com apoio em Canotilho: </w:t>
      </w:r>
      <w:r w:rsidR="0040698A" w:rsidRPr="008E403D">
        <w:rPr>
          <w:rFonts w:ascii="Times New Roman" w:hAnsi="Times New Roman"/>
        </w:rPr>
        <w:t>Brega Filho (</w:t>
      </w:r>
      <w:r w:rsidRPr="008E403D">
        <w:rPr>
          <w:rFonts w:ascii="Times New Roman" w:hAnsi="Times New Roman"/>
        </w:rPr>
        <w:t>2013, p. 105 e 106</w:t>
      </w:r>
      <w:r w:rsidR="0040698A" w:rsidRPr="008E403D">
        <w:rPr>
          <w:rFonts w:ascii="Times New Roman" w:hAnsi="Times New Roman"/>
        </w:rPr>
        <w:t>)</w:t>
      </w:r>
      <w:r w:rsidRPr="008E403D">
        <w:rPr>
          <w:rFonts w:ascii="Times New Roman" w:hAnsi="Times New Roman"/>
        </w:rPr>
        <w:t xml:space="preserve">): 1) vinculação do Legislador à sua realização; 2) vinculação </w:t>
      </w:r>
      <w:r w:rsidR="00542B67" w:rsidRPr="008E403D">
        <w:rPr>
          <w:rFonts w:ascii="Times New Roman" w:hAnsi="Times New Roman"/>
        </w:rPr>
        <w:t>positiva</w:t>
      </w:r>
      <w:r w:rsidRPr="008E403D">
        <w:rPr>
          <w:rFonts w:ascii="Times New Roman" w:hAnsi="Times New Roman"/>
        </w:rPr>
        <w:t xml:space="preserve"> dos órgãos concretizadores </w:t>
      </w:r>
      <w:r w:rsidR="00681778" w:rsidRPr="008E403D">
        <w:rPr>
          <w:rFonts w:ascii="Times New Roman" w:hAnsi="Times New Roman"/>
        </w:rPr>
        <w:t xml:space="preserve">[…] </w:t>
      </w:r>
      <w:r w:rsidRPr="008E403D">
        <w:rPr>
          <w:rFonts w:ascii="Times New Roman" w:hAnsi="Times New Roman"/>
        </w:rPr>
        <w:t xml:space="preserve">em qualquer de </w:t>
      </w:r>
      <w:r w:rsidRPr="008E403D">
        <w:rPr>
          <w:rFonts w:ascii="Times New Roman" w:hAnsi="Times New Roman"/>
        </w:rPr>
        <w:t xml:space="preserve">suas atividades (legislação, execução e jurisdição); 3) vinculação dos poderes públicos também do ponto de vista de limite material </w:t>
      </w:r>
      <w:r w:rsidR="00DE75FB" w:rsidRPr="008E403D">
        <w:rPr>
          <w:rFonts w:ascii="Times New Roman" w:hAnsi="Times New Roman"/>
        </w:rPr>
        <w:t>negativo</w:t>
      </w:r>
      <w:r w:rsidRPr="008E403D">
        <w:rPr>
          <w:rFonts w:ascii="Times New Roman" w:hAnsi="Times New Roman"/>
        </w:rPr>
        <w:t>, para vedação de atos contrários. Decorre daí também a necessária restrição a iniciativas injustifi</w:t>
      </w:r>
      <w:r w:rsidRPr="008E403D">
        <w:rPr>
          <w:rFonts w:ascii="Times New Roman" w:hAnsi="Times New Roman"/>
        </w:rPr>
        <w:t>cadas que restrinjam os direitos sociais sem dar-lhes alternativas ou meios de compensação, conjugando-se a vedação do retrocesso com o Princípio da Máxima Efetividade dos Direitos Fundamentais; assim também a vedação de mudanças que atentem contra as expe</w:t>
      </w:r>
      <w:r w:rsidRPr="008E403D">
        <w:rPr>
          <w:rFonts w:ascii="Times New Roman" w:hAnsi="Times New Roman"/>
        </w:rPr>
        <w:t xml:space="preserve">ctativas decorrentes do </w:t>
      </w:r>
      <w:r w:rsidR="004B0456" w:rsidRPr="008E403D">
        <w:rPr>
          <w:rFonts w:ascii="Times New Roman" w:hAnsi="Times New Roman"/>
        </w:rPr>
        <w:t>context normativ</w:t>
      </w:r>
      <w:r w:rsidR="00AF7B3F" w:rsidRPr="008E403D">
        <w:rPr>
          <w:rFonts w:ascii="Times New Roman" w:hAnsi="Times New Roman"/>
        </w:rPr>
        <w:t xml:space="preserve">o, </w:t>
      </w:r>
      <w:r w:rsidRPr="008E403D">
        <w:rPr>
          <w:rFonts w:ascii="Times New Roman" w:hAnsi="Times New Roman"/>
        </w:rPr>
        <w:t xml:space="preserve">em atenção ao Princípio da Segurança Jurídica, embora não seja vedada mudança por </w:t>
      </w:r>
      <w:r w:rsidR="00AF7B3F" w:rsidRPr="008E403D">
        <w:rPr>
          <w:rFonts w:ascii="Times New Roman" w:hAnsi="Times New Roman"/>
        </w:rPr>
        <w:t>si só</w:t>
      </w:r>
      <w:r w:rsidRPr="008E403D">
        <w:rPr>
          <w:rFonts w:ascii="Times New Roman" w:hAnsi="Times New Roman"/>
        </w:rPr>
        <w:t xml:space="preserve"> no regime de direitos sociais, já que o interesse público se sobrepõe ao</w:t>
      </w:r>
      <w:r w:rsidRPr="008E403D">
        <w:rPr>
          <w:rFonts w:ascii="Times New Roman" w:hAnsi="Times New Roman"/>
        </w:rPr>
        <w:t xml:space="preserve"> individual</w:t>
      </w:r>
      <w:r w:rsidR="00CF0B62" w:rsidRPr="008E403D">
        <w:rPr>
          <w:rFonts w:ascii="Times New Roman" w:hAnsi="Times New Roman"/>
        </w:rPr>
        <w:t>.</w:t>
      </w:r>
    </w:p>
    <w:p w14:paraId="65643D4C"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Ora, uma das características dos direitos sociais é cumulatividade, de modo que não se admite retrocesso nas conquistas historicamente já alcançadas, o que aponta ao princípio da proibição do retrocesso</w:t>
      </w:r>
      <w:r w:rsidRPr="008E403D">
        <w:rPr>
          <w:rFonts w:ascii="Times New Roman" w:hAnsi="Times New Roman"/>
        </w:rPr>
        <w:t xml:space="preserve"> (não reversabilidade) dos direitos fundamentais sociais. No Brasil, a vedação do retrocesso é implícita e decorre do Estado Democrático e Social de Direito adotado na Constituição de 1988, além da máxima eficácia das normas de direitos fundamentais, da se</w:t>
      </w:r>
      <w:r w:rsidRPr="008E403D">
        <w:rPr>
          <w:rFonts w:ascii="Times New Roman" w:hAnsi="Times New Roman"/>
        </w:rPr>
        <w:t>gurança jurídica e seus desdobramentos; mas encontra também amparo em documentos internacionais, como o Pacto Internacional sobre Direitos Civis e Políticos e o Pacto Internacional sobre Direitos Econômicos, Sociais e Culturais de 1966; a Convenção America</w:t>
      </w:r>
      <w:r w:rsidRPr="008E403D">
        <w:rPr>
          <w:rFonts w:ascii="Times New Roman" w:hAnsi="Times New Roman"/>
        </w:rPr>
        <w:t>na sobre Direitos Humanos (Pacto San José de Costa Rica, de 1969); além de estar intimamente relacionado também à Dignidade da Pessoa Humana (artigo 1o, III, também da Constituição de 1988) (BREGA FILHO, 2013, p. 109 e seguintes).</w:t>
      </w:r>
    </w:p>
    <w:p w14:paraId="51906C97"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Os contornos amplos das v</w:t>
      </w:r>
      <w:r w:rsidRPr="008E403D">
        <w:rPr>
          <w:rFonts w:ascii="Times New Roman" w:hAnsi="Times New Roman"/>
        </w:rPr>
        <w:t>ias de controles abstrato e difuso de constitucionalidade no sistema brasileiro oferecem plena viabilidade para o controle jurisdicional da matéria, ainda que isso implique potencial produção de precedentes contraditórios e implique eventual demora extraor</w:t>
      </w:r>
      <w:r w:rsidRPr="008E403D">
        <w:rPr>
          <w:rFonts w:ascii="Times New Roman" w:hAnsi="Times New Roman"/>
        </w:rPr>
        <w:t xml:space="preserve">dinária para que a matéria específica alcance a Corte constitucional. Lembra-se, por exemplo, que à falta de provocação direta do Supremo Tribunal Federal em sede de controle abstrato, as hipóteses de controle difuso poderão envolver vários julgamentos do </w:t>
      </w:r>
      <w:r w:rsidRPr="008E403D">
        <w:rPr>
          <w:rFonts w:ascii="Times New Roman" w:hAnsi="Times New Roman"/>
        </w:rPr>
        <w:t>mesmo tema por órgãos jurisdicionais de menor hierarquia até alcançar a Corte suprema. Entre os obstáculos de desenvolvimento satisfatório do controle difuso de constitucionalidade, adverte-se: “O primeiro deles é o de que o controle difuso, ressalvadas as</w:t>
      </w:r>
      <w:r w:rsidRPr="008E403D">
        <w:rPr>
          <w:rFonts w:ascii="Times New Roman" w:hAnsi="Times New Roman"/>
        </w:rPr>
        <w:t xml:space="preserve"> hipóteses excepcionais onde há competência originária do STF, inicia-se quase sempre no primeiro grau de jurisdição e, portanto, vem sendo objeto, na realidade, de um percurso de quatro graus, o que lhe outorga uma morosidade sem precedentes.” (</w:t>
      </w:r>
      <w:r w:rsidRPr="008E403D">
        <w:rPr>
          <w:rFonts w:ascii="Times New Roman" w:hAnsi="Times New Roman"/>
        </w:rPr>
        <w:t>NOBRE JÚNI</w:t>
      </w:r>
      <w:r w:rsidRPr="008E403D">
        <w:rPr>
          <w:rFonts w:ascii="Times New Roman" w:hAnsi="Times New Roman"/>
        </w:rPr>
        <w:t>OR, 2022</w:t>
      </w:r>
      <w:r w:rsidRPr="008E403D">
        <w:rPr>
          <w:rFonts w:ascii="Times New Roman" w:hAnsi="Times New Roman"/>
        </w:rPr>
        <w:t xml:space="preserve">, </w:t>
      </w:r>
      <w:r w:rsidRPr="008E403D">
        <w:rPr>
          <w:rFonts w:ascii="Times New Roman" w:hAnsi="Times New Roman"/>
        </w:rPr>
        <w:t>p. 84).</w:t>
      </w:r>
    </w:p>
    <w:p w14:paraId="2CA2D0D9" w14:textId="77777777"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lastRenderedPageBreak/>
        <w:t>De todo modo, o Supremo Tribunal Federal já fez menção à vedação do retrocesso em matéria de saúde, como no ARE639337/2011 (com voto do Ministro Celso de Mello sobre o tema da proteção à saúde), ou ainda como fundamento de ações diretas d</w:t>
      </w:r>
      <w:r w:rsidRPr="008E403D">
        <w:rPr>
          <w:rFonts w:ascii="Times New Roman" w:hAnsi="Times New Roman"/>
        </w:rPr>
        <w:t>e inconstitucionalidade que a Procuradoria Geral da República promoveu contra dispositivos da Lei 12.651/12 (Novo Código Florestal, que reduziu o âmbito de proteção do meio ambiente em vários aspectos) (BREGA FILHO, 2013, p. 116 a 118). Pensemos, então, qu</w:t>
      </w:r>
      <w:r w:rsidRPr="008E403D">
        <w:rPr>
          <w:rFonts w:ascii="Times New Roman" w:hAnsi="Times New Roman"/>
        </w:rPr>
        <w:t>e teria sido da proteção a direitos fundamentais sociais durante a pandemia de COVID-19 sem a intervenção do Ministério Público, que teve proeminência na promoção da ação civil pública em defesa dos direitos de idosos à liberdade, à cidadania e à autonomia</w:t>
      </w:r>
      <w:r w:rsidRPr="008E403D">
        <w:rPr>
          <w:rFonts w:ascii="Times New Roman" w:hAnsi="Times New Roman"/>
        </w:rPr>
        <w:t xml:space="preserve">, incluindo a provocação de medidas contra restrições administrativas tecnicamente infundadas em relação à vedação de transporte gratuito de idosos, por exemplo (SIQUEIRA; TATIBANA, 2022, p. 139). </w:t>
      </w:r>
    </w:p>
    <w:p w14:paraId="7D32CF33" w14:textId="2DD59736"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Essa conclusão secundária (de que a essencialidade de atua</w:t>
      </w:r>
      <w:r w:rsidRPr="008E403D">
        <w:rPr>
          <w:rFonts w:ascii="Times New Roman" w:hAnsi="Times New Roman"/>
        </w:rPr>
        <w:t>ção do Ministério Público reclama diálogo com o tema da vedação do retrocesso em direitos sociais) não implica, é bem verdade, que o Ministério Público deva ser o único legitimado ao exercício do controle externo inerente à boa governança. Tanto isso é cor</w:t>
      </w:r>
      <w:r w:rsidRPr="008E403D">
        <w:rPr>
          <w:rFonts w:ascii="Times New Roman" w:hAnsi="Times New Roman"/>
        </w:rPr>
        <w:t xml:space="preserve">reto que o Supremo Tribunal Federal afastou a inovação infraconstitucional que limitava a legitimidade para exercício das ações de improbidade </w:t>
      </w:r>
      <w:r w:rsidR="00FA1BB7" w:rsidRPr="008E403D">
        <w:rPr>
          <w:rFonts w:ascii="Times New Roman" w:hAnsi="Times New Roman"/>
        </w:rPr>
        <w:t>administrativa</w:t>
      </w:r>
      <w:r w:rsidRPr="008E403D">
        <w:rPr>
          <w:rFonts w:ascii="Times New Roman" w:hAnsi="Times New Roman"/>
        </w:rPr>
        <w:t xml:space="preserve">, como se referiu. Parte dos argumentos encampados pela Corte diz </w:t>
      </w:r>
      <w:r w:rsidRPr="008E403D">
        <w:rPr>
          <w:rFonts w:ascii="Times New Roman" w:hAnsi="Times New Roman"/>
        </w:rPr>
        <w:t xml:space="preserve">respeito precisamente à decapitação da Advocacia pública no que diz respeito à escolha sobre o trâmite procedimental das ações </w:t>
      </w:r>
      <w:r w:rsidR="00BC26CE" w:rsidRPr="008E403D">
        <w:rPr>
          <w:rFonts w:ascii="Times New Roman" w:hAnsi="Times New Roman"/>
        </w:rPr>
        <w:t xml:space="preserve">pore la </w:t>
      </w:r>
      <w:r w:rsidRPr="008E403D">
        <w:rPr>
          <w:rFonts w:ascii="Times New Roman" w:hAnsi="Times New Roman"/>
        </w:rPr>
        <w:t>promovidas, além de restrições sobre o procedimento para tomada da iniciativa pública de exercício de açõe</w:t>
      </w:r>
      <w:r w:rsidRPr="008E403D">
        <w:rPr>
          <w:rFonts w:ascii="Times New Roman" w:hAnsi="Times New Roman"/>
        </w:rPr>
        <w:t>s de reparação de danos decorrentes de improbidade</w:t>
      </w:r>
      <w:r w:rsidR="00BC26CE" w:rsidRPr="008E403D">
        <w:rPr>
          <w:rFonts w:ascii="Times New Roman" w:hAnsi="Times New Roman"/>
        </w:rPr>
        <w:t>administrativa</w:t>
      </w:r>
      <w:r w:rsidRPr="008E403D">
        <w:rPr>
          <w:rFonts w:ascii="Times New Roman" w:hAnsi="Times New Roman"/>
        </w:rPr>
        <w:t>.</w:t>
      </w:r>
    </w:p>
    <w:p w14:paraId="2143C47A" w14:textId="6ADFFE27"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Vê-se bem, de todo modo, que a </w:t>
      </w:r>
      <w:r w:rsidR="00492D77" w:rsidRPr="008E403D">
        <w:rPr>
          <w:rFonts w:ascii="Times New Roman" w:hAnsi="Times New Roman"/>
        </w:rPr>
        <w:pgNum/>
      </w:r>
      <w:r w:rsidRPr="008E403D">
        <w:rPr>
          <w:rFonts w:ascii="Times New Roman" w:hAnsi="Times New Roman"/>
        </w:rPr>
        <w:t xml:space="preserve"> afirmação da Corte Suprema brasileira sobre a inconstitucionalidade de iniciativa que reduziria a legitimidade</w:t>
      </w:r>
      <w:r w:rsidRPr="008E403D">
        <w:rPr>
          <w:rFonts w:ascii="Times New Roman" w:hAnsi="Times New Roman"/>
        </w:rPr>
        <w:t xml:space="preserve"> para as ações de improbidade </w:t>
      </w:r>
      <w:r w:rsidRPr="008E403D">
        <w:rPr>
          <w:rFonts w:ascii="Times New Roman" w:hAnsi="Times New Roman"/>
        </w:rPr>
        <w:t xml:space="preserve">evidencia bem a vinculação estreita que existe entre o controle externo e a afirmação dos direitos fundamentais sociais que lhe são </w:t>
      </w:r>
      <w:r w:rsidR="00FA1BB7" w:rsidRPr="008E403D">
        <w:rPr>
          <w:rFonts w:ascii="Times New Roman" w:hAnsi="Times New Roman"/>
        </w:rPr>
        <w:t>depen</w:t>
      </w:r>
      <w:r w:rsidR="00C90A9E" w:rsidRPr="008E403D">
        <w:rPr>
          <w:rFonts w:ascii="Times New Roman" w:hAnsi="Times New Roman"/>
        </w:rPr>
        <w:t>dentes</w:t>
      </w:r>
      <w:r w:rsidRPr="008E403D">
        <w:rPr>
          <w:rFonts w:ascii="Times New Roman" w:hAnsi="Times New Roman"/>
        </w:rPr>
        <w:t xml:space="preserve"> (em especial, a boa governança</w:t>
      </w:r>
      <w:r w:rsidRPr="008E403D">
        <w:rPr>
          <w:rFonts w:ascii="Times New Roman" w:hAnsi="Times New Roman"/>
        </w:rPr>
        <w:t>, que mais diretamente nos interessa).</w:t>
      </w:r>
    </w:p>
    <w:p w14:paraId="3FD533FE" w14:textId="7F4B5C59"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Assim, decorre a conclusão lógica de que por igual, ou com maior razão, também a atuação do próprio Ministério Público no controle externo da Administração Pública resulta elevada proporcionalmente ao alto grau de </w:t>
      </w:r>
      <w:r w:rsidR="00C90A9E" w:rsidRPr="008E403D">
        <w:rPr>
          <w:rFonts w:ascii="Times New Roman" w:hAnsi="Times New Roman"/>
        </w:rPr>
        <w:t>elemento</w:t>
      </w:r>
      <w:r w:rsidRPr="008E403D">
        <w:rPr>
          <w:rFonts w:ascii="Times New Roman" w:hAnsi="Times New Roman"/>
        </w:rPr>
        <w:t xml:space="preserve"> intrínseco à proteção aos direitos fundamentais, com as mesmas consequências que daí decorrem, não admitindo decotes que impliquem prejuízo à </w:t>
      </w:r>
      <w:r w:rsidR="00C90A9E" w:rsidRPr="008E403D">
        <w:rPr>
          <w:rFonts w:ascii="Times New Roman" w:hAnsi="Times New Roman"/>
        </w:rPr>
        <w:t>própria</w:t>
      </w:r>
      <w:r w:rsidRPr="008E403D">
        <w:rPr>
          <w:rFonts w:ascii="Times New Roman" w:hAnsi="Times New Roman"/>
        </w:rPr>
        <w:t xml:space="preserve"> noção de controle externo e desmaterialização dos anseios públicos por</w:t>
      </w:r>
      <w:r w:rsidRPr="008E403D">
        <w:rPr>
          <w:rFonts w:ascii="Times New Roman" w:hAnsi="Times New Roman"/>
        </w:rPr>
        <w:t xml:space="preserve"> boa governança.</w:t>
      </w:r>
    </w:p>
    <w:p w14:paraId="71386F89" w14:textId="0922B281"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Outra consequência da essencialidade da posição historicamente consolidada do Ministério Público em relação ao direito fundamental de boa-governa</w:t>
      </w:r>
      <w:r w:rsidR="005A3812" w:rsidRPr="008E403D">
        <w:rPr>
          <w:rFonts w:ascii="Times New Roman" w:hAnsi="Times New Roman"/>
        </w:rPr>
        <w:t>n</w:t>
      </w:r>
      <w:r w:rsidRPr="008E403D">
        <w:rPr>
          <w:rFonts w:ascii="Times New Roman" w:hAnsi="Times New Roman"/>
        </w:rPr>
        <w:t xml:space="preserve">ça deverá ser admitida como a imprescindibilidade de sua atuação como fiscal da lei em ações </w:t>
      </w:r>
      <w:r w:rsidRPr="008E403D">
        <w:rPr>
          <w:rFonts w:ascii="Times New Roman" w:hAnsi="Times New Roman"/>
        </w:rPr>
        <w:t xml:space="preserve">relacionadas ao tema. A título de </w:t>
      </w:r>
      <w:r w:rsidRPr="008E403D">
        <w:rPr>
          <w:rFonts w:ascii="Times New Roman" w:hAnsi="Times New Roman"/>
        </w:rPr>
        <w:lastRenderedPageBreak/>
        <w:t xml:space="preserve">ilustração, em análise sobre julgamento colegiado proferido pelo Tribunal de Justiça do Paraná no âmbito de ação civil pública promovida pelo Ministério Público em primeiro grau (autos n. </w:t>
      </w:r>
      <w:r w:rsidRPr="008E403D">
        <w:rPr>
          <w:rFonts w:ascii="Times New Roman" w:hAnsi="Times New Roman"/>
        </w:rPr>
        <w:t>0016052- 53.2006.87.16.0030), já s</w:t>
      </w:r>
      <w:r w:rsidRPr="008E403D">
        <w:rPr>
          <w:rFonts w:ascii="Times New Roman" w:hAnsi="Times New Roman"/>
        </w:rPr>
        <w:t xml:space="preserve">e enfatizou o caráter antidemocrático da exclusão de sua atuação </w:t>
      </w:r>
      <w:r w:rsidRPr="008E403D">
        <w:rPr>
          <w:rFonts w:ascii="Times New Roman" w:hAnsi="Times New Roman"/>
        </w:rPr>
        <w:t xml:space="preserve">custos iuris </w:t>
      </w:r>
      <w:r w:rsidRPr="008E403D">
        <w:rPr>
          <w:rFonts w:ascii="Times New Roman" w:hAnsi="Times New Roman"/>
        </w:rPr>
        <w:t>sobre processo do qual deveria atuar</w:t>
      </w:r>
      <w:r w:rsidRPr="008E403D">
        <w:rPr>
          <w:rFonts w:ascii="Times New Roman" w:hAnsi="Times New Roman"/>
        </w:rPr>
        <w:t>,</w:t>
      </w:r>
      <w:r w:rsidRPr="008E403D">
        <w:rPr>
          <w:rFonts w:ascii="Times New Roman" w:hAnsi="Times New Roman"/>
        </w:rPr>
        <w:t xml:space="preserve"> ainda que o Órgão judiciário entendesse que a atuação concomitante de uma promotoria de justiça e da procuradoria de justiça implicaria dupl</w:t>
      </w:r>
      <w:r w:rsidRPr="008E403D">
        <w:rPr>
          <w:rFonts w:ascii="Times New Roman" w:hAnsi="Times New Roman"/>
        </w:rPr>
        <w:t xml:space="preserve">icidade atentatória contra a duração razoável do processo </w:t>
      </w:r>
      <w:r w:rsidRPr="008E403D">
        <w:rPr>
          <w:rFonts w:ascii="Times New Roman" w:hAnsi="Times New Roman"/>
        </w:rPr>
        <w:t>(</w:t>
      </w:r>
      <w:r w:rsidR="0072008D" w:rsidRPr="008E403D">
        <w:rPr>
          <w:rFonts w:ascii="Times New Roman" w:hAnsi="Times New Roman"/>
        </w:rPr>
        <w:t>SANTIN</w:t>
      </w:r>
      <w:r w:rsidRPr="008E403D">
        <w:rPr>
          <w:rFonts w:ascii="Times New Roman" w:hAnsi="Times New Roman"/>
        </w:rPr>
        <w:t xml:space="preserve">, 2018, </w:t>
      </w:r>
      <w:r w:rsidRPr="008E403D">
        <w:rPr>
          <w:rFonts w:ascii="Times New Roman" w:hAnsi="Times New Roman"/>
        </w:rPr>
        <w:t>p. 334 e seguintes).</w:t>
      </w:r>
    </w:p>
    <w:p w14:paraId="1D1BD9ED" w14:textId="2A5D2508"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Nos casos em que a atuação do Ministério Público é impositiva (e especialmente no que diz respeito à fiscalização de direito fundamental social, como é o </w:t>
      </w:r>
      <w:r w:rsidRPr="008E403D">
        <w:rPr>
          <w:rFonts w:ascii="Times New Roman" w:hAnsi="Times New Roman"/>
        </w:rPr>
        <w:t>caso do direito fundamental à boa governança), a deliberação unilateral de outra instituição sobre a essencialidade do papel fiscalizatório do Ministério Pú</w:t>
      </w:r>
      <w:r w:rsidR="00726650" w:rsidRPr="008E403D">
        <w:rPr>
          <w:rFonts w:ascii="Times New Roman" w:hAnsi="Times New Roman"/>
        </w:rPr>
        <w:t>b</w:t>
      </w:r>
      <w:r w:rsidRPr="008E403D">
        <w:rPr>
          <w:rFonts w:ascii="Times New Roman" w:hAnsi="Times New Roman"/>
        </w:rPr>
        <w:t xml:space="preserve">lico desconsidera a essencialidade de sua atuação enquanto </w:t>
      </w:r>
      <w:r w:rsidR="00910025" w:rsidRPr="008E403D">
        <w:rPr>
          <w:rFonts w:ascii="Times New Roman" w:hAnsi="Times New Roman"/>
        </w:rPr>
        <w:t>elemento</w:t>
      </w:r>
      <w:r w:rsidRPr="008E403D">
        <w:rPr>
          <w:rFonts w:ascii="Times New Roman" w:hAnsi="Times New Roman"/>
        </w:rPr>
        <w:t xml:space="preserve"> de controle </w:t>
      </w:r>
      <w:r w:rsidRPr="008E403D">
        <w:rPr>
          <w:rFonts w:ascii="Times New Roman" w:hAnsi="Times New Roman"/>
        </w:rPr>
        <w:t xml:space="preserve">integrante da </w:t>
      </w:r>
      <w:r w:rsidR="00910025" w:rsidRPr="008E403D">
        <w:rPr>
          <w:rFonts w:ascii="Times New Roman" w:hAnsi="Times New Roman"/>
        </w:rPr>
        <w:t>própria</w:t>
      </w:r>
      <w:r w:rsidRPr="008E403D">
        <w:rPr>
          <w:rFonts w:ascii="Times New Roman" w:hAnsi="Times New Roman"/>
        </w:rPr>
        <w:t xml:space="preserve"> afirmação do direito fundamental correspondente. Além de menor importância ao caráter dialogal e democrático que o processo contemporâneo assume no </w:t>
      </w:r>
      <w:r w:rsidR="00910025" w:rsidRPr="008E403D">
        <w:rPr>
          <w:rFonts w:ascii="Times New Roman" w:hAnsi="Times New Roman"/>
        </w:rPr>
        <w:t>sistema</w:t>
      </w:r>
      <w:r w:rsidRPr="008E403D">
        <w:rPr>
          <w:rFonts w:ascii="Times New Roman" w:hAnsi="Times New Roman"/>
        </w:rPr>
        <w:t xml:space="preserve"> constitucional de 1988, eventual restrição unilate</w:t>
      </w:r>
      <w:r w:rsidRPr="008E403D">
        <w:rPr>
          <w:rFonts w:ascii="Times New Roman" w:hAnsi="Times New Roman"/>
        </w:rPr>
        <w:t xml:space="preserve">ral da atuação fiscalizadora do Ministério Público em matéria de controle de práticas administrativas também assume ares de maior gravidade e (in)constitucionalidade, precisamente porque aponta ao núcleo elementar característico da </w:t>
      </w:r>
      <w:r w:rsidR="00910025" w:rsidRPr="008E403D">
        <w:rPr>
          <w:rFonts w:ascii="Times New Roman" w:hAnsi="Times New Roman"/>
        </w:rPr>
        <w:t>próprio</w:t>
      </w:r>
      <w:r w:rsidRPr="008E403D">
        <w:rPr>
          <w:rFonts w:ascii="Times New Roman" w:hAnsi="Times New Roman"/>
        </w:rPr>
        <w:t xml:space="preserve"> af</w:t>
      </w:r>
      <w:r w:rsidRPr="008E403D">
        <w:rPr>
          <w:rFonts w:ascii="Times New Roman" w:hAnsi="Times New Roman"/>
        </w:rPr>
        <w:t xml:space="preserve">irmação do direito fundamental à boa governança (que se assenta sobre a noção de </w:t>
      </w:r>
      <w:r w:rsidRPr="008E403D">
        <w:rPr>
          <w:rFonts w:ascii="Times New Roman" w:hAnsi="Times New Roman"/>
        </w:rPr>
        <w:t xml:space="preserve">accountability </w:t>
      </w:r>
      <w:r w:rsidRPr="008E403D">
        <w:rPr>
          <w:rFonts w:ascii="Times New Roman" w:hAnsi="Times New Roman"/>
        </w:rPr>
        <w:t>e controle externo historicamente consolidado sobre a atuação ministerial no modelo brasileiro, como se viu).</w:t>
      </w:r>
    </w:p>
    <w:p w14:paraId="50841604" w14:textId="4EFC5255"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Bem assim, a revisão da relevância e essencialidad</w:t>
      </w:r>
      <w:r w:rsidRPr="008E403D">
        <w:rPr>
          <w:rFonts w:ascii="Times New Roman" w:hAnsi="Times New Roman"/>
        </w:rPr>
        <w:t xml:space="preserve">e da atuação ministerial como </w:t>
      </w:r>
      <w:r w:rsidRPr="008E403D">
        <w:rPr>
          <w:rFonts w:ascii="Times New Roman" w:hAnsi="Times New Roman"/>
        </w:rPr>
        <w:t xml:space="preserve">custos iuris </w:t>
      </w:r>
      <w:r w:rsidRPr="008E403D">
        <w:rPr>
          <w:rFonts w:ascii="Times New Roman" w:hAnsi="Times New Roman"/>
        </w:rPr>
        <w:t xml:space="preserve">em matéria de controle de atos da administração pública também constitui mais uma consequência destacada da admissão da posição historicamente acumulada sobre a enunciação do direito fundamental à boa governança, </w:t>
      </w:r>
      <w:r w:rsidRPr="008E403D">
        <w:rPr>
          <w:rFonts w:ascii="Times New Roman" w:hAnsi="Times New Roman"/>
        </w:rPr>
        <w:t xml:space="preserve">sem a qual o </w:t>
      </w:r>
      <w:r w:rsidR="00910025" w:rsidRPr="008E403D">
        <w:rPr>
          <w:rFonts w:ascii="Times New Roman" w:hAnsi="Times New Roman"/>
        </w:rPr>
        <w:t>reclame</w:t>
      </w:r>
      <w:r w:rsidRPr="008E403D">
        <w:rPr>
          <w:rFonts w:ascii="Times New Roman" w:hAnsi="Times New Roman"/>
        </w:rPr>
        <w:t xml:space="preserve"> por u</w:t>
      </w:r>
      <w:r w:rsidR="00910025" w:rsidRPr="008E403D">
        <w:rPr>
          <w:rFonts w:ascii="Times New Roman" w:hAnsi="Times New Roman"/>
        </w:rPr>
        <w:t>m</w:t>
      </w:r>
      <w:r w:rsidRPr="008E403D">
        <w:rPr>
          <w:rFonts w:ascii="Times New Roman" w:hAnsi="Times New Roman"/>
        </w:rPr>
        <w:t xml:space="preserve">a nova gestão pública mais adequada resulta claudicante, </w:t>
      </w:r>
      <w:r w:rsidR="00910025" w:rsidRPr="008E403D">
        <w:rPr>
          <w:rFonts w:ascii="Times New Roman" w:hAnsi="Times New Roman"/>
        </w:rPr>
        <w:t>incompleto</w:t>
      </w:r>
      <w:r w:rsidRPr="008E403D">
        <w:rPr>
          <w:rFonts w:ascii="Times New Roman" w:hAnsi="Times New Roman"/>
        </w:rPr>
        <w:t>.</w:t>
      </w:r>
    </w:p>
    <w:p w14:paraId="764D64C7" w14:textId="77777777"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 </w:t>
      </w:r>
    </w:p>
    <w:p w14:paraId="12201185"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4 CONSIDERAÇÕES FINAIS</w:t>
      </w:r>
    </w:p>
    <w:p w14:paraId="734CCC18" w14:textId="77777777" w:rsidR="002A2A46" w:rsidRPr="008E403D" w:rsidRDefault="002A2A46" w:rsidP="008E403D">
      <w:pPr>
        <w:pStyle w:val="Corpodetexto"/>
        <w:spacing w:after="0" w:line="360" w:lineRule="auto"/>
        <w:ind w:firstLine="850"/>
        <w:jc w:val="both"/>
        <w:rPr>
          <w:rFonts w:ascii="Times New Roman" w:hAnsi="Times New Roman"/>
        </w:rPr>
      </w:pPr>
    </w:p>
    <w:p w14:paraId="643E9812" w14:textId="40EF6690" w:rsidR="002A2A46" w:rsidRPr="008E403D" w:rsidRDefault="00C01245" w:rsidP="008E403D">
      <w:pPr>
        <w:pStyle w:val="Corpodetexto"/>
        <w:spacing w:after="0" w:line="360" w:lineRule="auto"/>
        <w:ind w:firstLine="850"/>
        <w:jc w:val="both"/>
        <w:rPr>
          <w:rFonts w:ascii="Times New Roman" w:hAnsi="Times New Roman"/>
        </w:rPr>
      </w:pPr>
      <w:r w:rsidRPr="008E403D">
        <w:rPr>
          <w:rFonts w:ascii="Times New Roman" w:hAnsi="Times New Roman"/>
        </w:rPr>
        <w:t xml:space="preserve">Como </w:t>
      </w:r>
      <w:r w:rsidR="00492D77" w:rsidRPr="008E403D">
        <w:rPr>
          <w:rFonts w:ascii="Times New Roman" w:hAnsi="Times New Roman"/>
        </w:rPr>
        <w:pgNum/>
      </w:r>
      <w:r w:rsidR="00492D77" w:rsidRPr="008E403D">
        <w:rPr>
          <w:rFonts w:ascii="Times New Roman" w:hAnsi="Times New Roman"/>
        </w:rPr>
        <w:t>abido</w:t>
      </w:r>
      <w:r w:rsidRPr="008E403D">
        <w:rPr>
          <w:rFonts w:ascii="Times New Roman" w:hAnsi="Times New Roman"/>
        </w:rPr>
        <w:t xml:space="preserve">, a enunciação e a regulação de direitos sociais são insuficientes para sua </w:t>
      </w:r>
      <w:r w:rsidRPr="008E403D">
        <w:rPr>
          <w:rFonts w:ascii="Times New Roman" w:hAnsi="Times New Roman"/>
        </w:rPr>
        <w:t>concretização, que depende também de instrumentos que lhes assegurem efetividade na vida real, com instrumentos adequados para asseguramento correspondente.</w:t>
      </w:r>
    </w:p>
    <w:p w14:paraId="505CE559" w14:textId="19793955"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Por um lado, os direitos sociais no mundo contemporâneo implicam uma noção renovada e mais ampla de</w:t>
      </w:r>
      <w:r w:rsidRPr="008E403D">
        <w:rPr>
          <w:rFonts w:ascii="Times New Roman" w:hAnsi="Times New Roman"/>
        </w:rPr>
        <w:t xml:space="preserve"> boa governança, que abarca e supera a noção tradicional mais simples de boa administração financeira (caracterizada pelo exercício de um poder discricionário irracional</w:t>
      </w:r>
      <w:r w:rsidR="00492D77" w:rsidRPr="008E403D">
        <w:rPr>
          <w:rFonts w:ascii="Times New Roman" w:hAnsi="Times New Roman"/>
        </w:rPr>
        <w:t>,</w:t>
      </w:r>
      <w:r w:rsidRPr="008E403D">
        <w:rPr>
          <w:rFonts w:ascii="Times New Roman" w:hAnsi="Times New Roman"/>
        </w:rPr>
        <w:t xml:space="preserve"> descompromissado com o sentido maior que a atividade administrativa assuma em relação</w:t>
      </w:r>
      <w:r w:rsidRPr="008E403D">
        <w:rPr>
          <w:rFonts w:ascii="Times New Roman" w:hAnsi="Times New Roman"/>
        </w:rPr>
        <w:t xml:space="preserve"> à concretização daqueles direitos fundamentais). Por outro lado, sua concretização está vinculada de </w:t>
      </w:r>
      <w:r w:rsidRPr="008E403D">
        <w:rPr>
          <w:rFonts w:ascii="Times New Roman" w:hAnsi="Times New Roman"/>
        </w:rPr>
        <w:lastRenderedPageBreak/>
        <w:t xml:space="preserve">modo indissociável ao controle externo, com amplo cabimento de sindicabilidade da atividade administrativa. </w:t>
      </w:r>
    </w:p>
    <w:p w14:paraId="16D75602"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O ponto de relevo identificado e que se procu</w:t>
      </w:r>
      <w:r w:rsidRPr="008E403D">
        <w:rPr>
          <w:rFonts w:ascii="Times New Roman" w:hAnsi="Times New Roman"/>
        </w:rPr>
        <w:t>rou explorar neste texto foi a relação intrínseca que existe entre o exercício do controle externo da boa governança e a posição historicamente consolidada no Brasil que foi reservada ao Ministério Público, acumulando múltiplas atribuições, em alguns aspec</w:t>
      </w:r>
      <w:r w:rsidRPr="008E403D">
        <w:rPr>
          <w:rFonts w:ascii="Times New Roman" w:hAnsi="Times New Roman"/>
        </w:rPr>
        <w:t>tos de forma privativa, para o exercício de atividade fiscalizadora e sancionatória.</w:t>
      </w:r>
    </w:p>
    <w:p w14:paraId="5E0B59ED" w14:textId="77777777" w:rsidR="002A2A46" w:rsidRPr="008E403D" w:rsidRDefault="00C01245" w:rsidP="008E403D">
      <w:pPr>
        <w:pStyle w:val="Corpodetexto"/>
        <w:spacing w:after="0" w:line="360" w:lineRule="auto"/>
        <w:ind w:firstLine="850"/>
        <w:jc w:val="both"/>
        <w:rPr>
          <w:rFonts w:ascii="Times New Roman" w:hAnsi="Times New Roman" w:hint="eastAsia"/>
        </w:rPr>
      </w:pPr>
      <w:r w:rsidRPr="008E403D">
        <w:rPr>
          <w:rFonts w:ascii="Times New Roman" w:hAnsi="Times New Roman"/>
        </w:rPr>
        <w:t>À medida que se reconhece o direito à boa governança como direito fundamental e a imprescindibilidade de controle externo como face indissociável de sua realização, conclu</w:t>
      </w:r>
      <w:r w:rsidRPr="008E403D">
        <w:rPr>
          <w:rFonts w:ascii="Times New Roman" w:hAnsi="Times New Roman"/>
        </w:rPr>
        <w:t xml:space="preserve">i-se que, também, o controle pelo Ministério Público no ordenamento brasileiro se configura como componente histórico daquele, com sérias consequências, como a extensão do diálogo sobre o reclame constitucional de vedação ao retrocesso e o descabimento de </w:t>
      </w:r>
      <w:r w:rsidRPr="008E403D">
        <w:rPr>
          <w:rFonts w:ascii="Times New Roman" w:hAnsi="Times New Roman"/>
        </w:rPr>
        <w:t>restrições casuísticas à atuação ministerial por deliberação de outras instituições, à medida que o asseguramento de autonomia e independência implica atuação fundamentada do próprio Ministério Público, sob pena de debilidade do próprio exercício de contro</w:t>
      </w:r>
      <w:r w:rsidRPr="008E403D">
        <w:rPr>
          <w:rFonts w:ascii="Times New Roman" w:hAnsi="Times New Roman"/>
        </w:rPr>
        <w:t>le externo ministerial e correspondente prejuízo a uma das bases elementares do direito fundamental assegurado.</w:t>
      </w:r>
    </w:p>
    <w:p w14:paraId="7485B2B6" w14:textId="77777777" w:rsidR="002A2A46" w:rsidRPr="008E403D" w:rsidRDefault="002A2A46" w:rsidP="008E403D">
      <w:pPr>
        <w:pStyle w:val="Corpodetexto"/>
        <w:spacing w:after="0" w:line="360" w:lineRule="auto"/>
        <w:ind w:firstLine="850"/>
        <w:jc w:val="both"/>
        <w:rPr>
          <w:rFonts w:ascii="Times New Roman" w:hAnsi="Times New Roman"/>
        </w:rPr>
      </w:pPr>
    </w:p>
    <w:p w14:paraId="4825D33F" w14:textId="77777777" w:rsidR="002A2A46" w:rsidRPr="008E403D" w:rsidRDefault="002A2A46" w:rsidP="008E403D">
      <w:pPr>
        <w:pStyle w:val="Corpodetexto"/>
        <w:spacing w:after="0" w:line="360" w:lineRule="auto"/>
        <w:ind w:firstLine="850"/>
        <w:jc w:val="both"/>
        <w:rPr>
          <w:rFonts w:ascii="Times New Roman" w:hAnsi="Times New Roman"/>
        </w:rPr>
      </w:pPr>
    </w:p>
    <w:p w14:paraId="6E25FDB6" w14:textId="77777777" w:rsidR="002A2A46" w:rsidRPr="008E403D" w:rsidRDefault="00C01245" w:rsidP="008E403D">
      <w:pPr>
        <w:pStyle w:val="Corpodetexto"/>
        <w:spacing w:after="0" w:line="360" w:lineRule="auto"/>
        <w:rPr>
          <w:rFonts w:ascii="Times New Roman" w:hAnsi="Times New Roman" w:hint="eastAsia"/>
          <w:b/>
        </w:rPr>
      </w:pPr>
      <w:bookmarkStart w:id="0" w:name="_Hlk138868675"/>
      <w:r w:rsidRPr="008E403D">
        <w:rPr>
          <w:rFonts w:ascii="Times New Roman" w:hAnsi="Times New Roman"/>
          <w:b/>
        </w:rPr>
        <w:t>REFERÊNCIAS</w:t>
      </w:r>
    </w:p>
    <w:p w14:paraId="4283298D" w14:textId="77777777" w:rsidR="002A2A46" w:rsidRPr="008E403D" w:rsidRDefault="002A2A46">
      <w:pPr>
        <w:pStyle w:val="Corpodetexto"/>
        <w:spacing w:after="0" w:line="360" w:lineRule="auto"/>
        <w:ind w:firstLine="850"/>
        <w:jc w:val="both"/>
        <w:rPr>
          <w:rFonts w:ascii="Times New Roman" w:hAnsi="Times New Roman"/>
          <w:highlight w:val="white"/>
        </w:rPr>
      </w:pPr>
    </w:p>
    <w:bookmarkEnd w:id="0"/>
    <w:p w14:paraId="61853611" w14:textId="785ECCB4" w:rsidR="0060351C" w:rsidRPr="008E403D" w:rsidRDefault="0060351C" w:rsidP="008E403D">
      <w:pPr>
        <w:pStyle w:val="Corpodetexto"/>
        <w:spacing w:after="0" w:line="240" w:lineRule="auto"/>
        <w:jc w:val="both"/>
        <w:rPr>
          <w:rFonts w:ascii="Times New Roman" w:hAnsi="Times New Roman"/>
        </w:rPr>
      </w:pPr>
      <w:r w:rsidRPr="008E403D">
        <w:rPr>
          <w:rFonts w:ascii="Times New Roman" w:hAnsi="Times New Roman"/>
        </w:rPr>
        <w:t xml:space="preserve"> ASSUMPÇÃO, André Del Grossi; BOLLOTTI, Joelson Júnior. Novos contornos da discricionariedade administrativa em soluções alternativas à judicialização de conflitos com ênfase na administração pública federal brasileira. </w:t>
      </w:r>
      <w:r w:rsidRPr="008E403D">
        <w:rPr>
          <w:rFonts w:ascii="Times New Roman" w:hAnsi="Times New Roman"/>
          <w:i/>
          <w:iCs/>
        </w:rPr>
        <w:t>In</w:t>
      </w:r>
      <w:r w:rsidRPr="008E403D">
        <w:rPr>
          <w:rFonts w:ascii="Times New Roman" w:hAnsi="Times New Roman"/>
        </w:rPr>
        <w:t xml:space="preserve">: ASSUMPÇÃO, André Del Grossi; GRECO, Patrícia Gasparro Sevilha (Org.). </w:t>
      </w:r>
      <w:r w:rsidRPr="008E403D">
        <w:rPr>
          <w:rFonts w:ascii="Times New Roman" w:hAnsi="Times New Roman"/>
          <w:i/>
          <w:iCs/>
        </w:rPr>
        <w:t>Reflexões sobre uma nova Hermenêutica Constitucional:</w:t>
      </w:r>
      <w:r w:rsidRPr="008E403D">
        <w:rPr>
          <w:rFonts w:ascii="Times New Roman" w:hAnsi="Times New Roman"/>
        </w:rPr>
        <w:t xml:space="preserve"> leis, valores e sociedade. 1. ed. Maringá: Vox Littera, 2022. v. 1. </w:t>
      </w:r>
    </w:p>
    <w:p w14:paraId="0DA3FA59" w14:textId="77777777" w:rsidR="000E7078" w:rsidRPr="008E403D" w:rsidRDefault="000E7078" w:rsidP="008E403D">
      <w:pPr>
        <w:jc w:val="both"/>
        <w:rPr>
          <w:rFonts w:ascii="Times New Roman" w:hAnsi="Times New Roman"/>
        </w:rPr>
      </w:pPr>
    </w:p>
    <w:p w14:paraId="705B1B4D" w14:textId="548857FA" w:rsidR="0060351C" w:rsidRPr="008E403D" w:rsidRDefault="0060351C" w:rsidP="008E403D">
      <w:pPr>
        <w:jc w:val="both"/>
        <w:rPr>
          <w:rFonts w:ascii="Times New Roman" w:hAnsi="Times New Roman" w:hint="eastAsia"/>
        </w:rPr>
      </w:pPr>
      <w:r w:rsidRPr="008E403D">
        <w:rPr>
          <w:rFonts w:ascii="Times New Roman" w:hAnsi="Times New Roman"/>
        </w:rPr>
        <w:t xml:space="preserve">BRASIL. Constituição da República Federativa do Brasil de 1988. Brasília (DF): Presidência da República. Casa civil. Disponível em: </w:t>
      </w:r>
      <w:hyperlink r:id="rId11">
        <w:r w:rsidRPr="008E403D">
          <w:rPr>
            <w:rFonts w:ascii="Times New Roman" w:hAnsi="Times New Roman"/>
          </w:rPr>
          <w:t>http://www.planalto.gov.br/ccivil_03/constituicao/constituicao.htm</w:t>
        </w:r>
      </w:hyperlink>
      <w:r w:rsidRPr="008E403D">
        <w:rPr>
          <w:rFonts w:ascii="Times New Roman" w:hAnsi="Times New Roman"/>
        </w:rPr>
        <w:t xml:space="preserve"> Acesso em: 25 out. 2022.</w:t>
      </w:r>
    </w:p>
    <w:p w14:paraId="72333BBA" w14:textId="77777777" w:rsidR="0060351C" w:rsidRPr="008E403D" w:rsidRDefault="0060351C" w:rsidP="008E403D">
      <w:pPr>
        <w:ind w:firstLine="850"/>
        <w:jc w:val="both"/>
        <w:rPr>
          <w:rFonts w:ascii="Times New Roman" w:hAnsi="Times New Roman"/>
        </w:rPr>
      </w:pPr>
    </w:p>
    <w:p w14:paraId="328737FF"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BRASIL. Lei n. 7.347, de 24 de julho de 1985. Brasília (DF): Presidência da República. Casa civil. Disponível em: </w:t>
      </w:r>
      <w:hyperlink r:id="rId12">
        <w:r w:rsidRPr="008E403D">
          <w:rPr>
            <w:rFonts w:ascii="Times New Roman" w:hAnsi="Times New Roman"/>
          </w:rPr>
          <w:t>http://www.planalto.gov.br/ccivil_03/leis/l7347orig.htm</w:t>
        </w:r>
      </w:hyperlink>
      <w:r w:rsidRPr="008E403D">
        <w:rPr>
          <w:rFonts w:ascii="Times New Roman" w:hAnsi="Times New Roman"/>
        </w:rPr>
        <w:t xml:space="preserve"> Acesso em: 25 out. 2022.</w:t>
      </w:r>
    </w:p>
    <w:p w14:paraId="087BFAFF" w14:textId="77777777" w:rsidR="0060351C" w:rsidRPr="008E403D" w:rsidRDefault="0060351C" w:rsidP="008E403D">
      <w:pPr>
        <w:ind w:firstLine="850"/>
        <w:jc w:val="both"/>
        <w:rPr>
          <w:rFonts w:ascii="Times New Roman" w:hAnsi="Times New Roman"/>
        </w:rPr>
      </w:pPr>
    </w:p>
    <w:p w14:paraId="1758B572"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BRASIL. Lei n. 8429, de 02 de junho de 1992. Brasília (DF): Presidência da República. Casa civil. Disponível em: </w:t>
      </w:r>
      <w:hyperlink r:id="rId13">
        <w:r w:rsidRPr="008E403D">
          <w:rPr>
            <w:rFonts w:ascii="Times New Roman" w:hAnsi="Times New Roman"/>
          </w:rPr>
          <w:t>http://www.planalto.gov.br/ccivil_03/leis/l8429.htm</w:t>
        </w:r>
      </w:hyperlink>
      <w:r w:rsidRPr="008E403D">
        <w:rPr>
          <w:rFonts w:ascii="Times New Roman" w:hAnsi="Times New Roman"/>
        </w:rPr>
        <w:t xml:space="preserve"> Acesso em: 25 out. 2022.</w:t>
      </w:r>
    </w:p>
    <w:p w14:paraId="4135A1B8" w14:textId="77777777" w:rsidR="0060351C" w:rsidRPr="008E403D" w:rsidRDefault="0060351C" w:rsidP="008E403D">
      <w:pPr>
        <w:ind w:firstLine="850"/>
        <w:jc w:val="both"/>
        <w:rPr>
          <w:rFonts w:ascii="Times New Roman" w:hAnsi="Times New Roman"/>
        </w:rPr>
      </w:pPr>
    </w:p>
    <w:p w14:paraId="4189D860"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BRASIL. Lei n. 8.625, de 12 de fevereiro de 1993. Brasília (DF): Presidência da República. Casa civil. Disponível em: </w:t>
      </w:r>
      <w:hyperlink r:id="rId14">
        <w:r w:rsidRPr="008E403D">
          <w:rPr>
            <w:rFonts w:ascii="Times New Roman" w:hAnsi="Times New Roman"/>
          </w:rPr>
          <w:t>http://www.planalto.gov.br/ccivil_03/leis/l8625.htm</w:t>
        </w:r>
      </w:hyperlink>
      <w:r w:rsidRPr="008E403D">
        <w:rPr>
          <w:rFonts w:ascii="Times New Roman" w:hAnsi="Times New Roman"/>
        </w:rPr>
        <w:t xml:space="preserve"> Acesso em: 25 out. 2022.</w:t>
      </w:r>
    </w:p>
    <w:p w14:paraId="603EAE1E" w14:textId="77777777" w:rsidR="0060351C" w:rsidRPr="008E403D" w:rsidRDefault="0060351C" w:rsidP="008E403D">
      <w:pPr>
        <w:ind w:firstLine="850"/>
        <w:jc w:val="both"/>
        <w:rPr>
          <w:rFonts w:ascii="Times New Roman" w:hAnsi="Times New Roman"/>
        </w:rPr>
      </w:pPr>
    </w:p>
    <w:p w14:paraId="5FAAAD88"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BRASIL. Lei Complementar n. 75, de 20 de maio de 1973. Brasília (DF): Presidência da República. Casa civil. Disponível em: </w:t>
      </w:r>
      <w:hyperlink r:id="rId15">
        <w:r w:rsidRPr="008E403D">
          <w:rPr>
            <w:rFonts w:ascii="Times New Roman" w:hAnsi="Times New Roman"/>
          </w:rPr>
          <w:t>http://www.planalto.gov.br/ccivil_03/leis/lcp/lcp75.htm</w:t>
        </w:r>
      </w:hyperlink>
      <w:r w:rsidRPr="008E403D">
        <w:rPr>
          <w:rFonts w:ascii="Times New Roman" w:hAnsi="Times New Roman"/>
        </w:rPr>
        <w:t xml:space="preserve"> Acesso em: 25 out. 2022.</w:t>
      </w:r>
    </w:p>
    <w:p w14:paraId="31D0252E" w14:textId="77777777" w:rsidR="0060351C" w:rsidRPr="008E403D" w:rsidRDefault="0060351C" w:rsidP="008E403D">
      <w:pPr>
        <w:ind w:firstLine="850"/>
        <w:jc w:val="both"/>
        <w:rPr>
          <w:rFonts w:ascii="Times New Roman" w:hAnsi="Times New Roman"/>
        </w:rPr>
      </w:pPr>
    </w:p>
    <w:p w14:paraId="192F2955"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BRASIL. Lei n. 11.448, de 15 de janeiro de 2007.  Brasília (DF): Presidência da República. Casa civil. Disponível em: </w:t>
      </w:r>
      <w:hyperlink r:id="rId16">
        <w:r w:rsidRPr="008E403D">
          <w:rPr>
            <w:rFonts w:ascii="Times New Roman" w:hAnsi="Times New Roman"/>
          </w:rPr>
          <w:t>http://www.planalto.gov.br/ccivil_03/_Ato2007-Brasília (DF): Presidência da República. Casa civil. Disponível em: 2010/2007/Lei/L11448.htm#art2</w:t>
        </w:r>
      </w:hyperlink>
      <w:r w:rsidRPr="008E403D">
        <w:rPr>
          <w:rFonts w:ascii="Times New Roman" w:hAnsi="Times New Roman"/>
        </w:rPr>
        <w:t xml:space="preserve"> Acesso em: 25 out. 2022.</w:t>
      </w:r>
    </w:p>
    <w:p w14:paraId="415170A1" w14:textId="77777777" w:rsidR="0060351C" w:rsidRPr="008E403D" w:rsidRDefault="0060351C" w:rsidP="008E403D">
      <w:pPr>
        <w:ind w:firstLine="850"/>
        <w:jc w:val="both"/>
        <w:rPr>
          <w:rFonts w:ascii="Times New Roman" w:hAnsi="Times New Roman"/>
        </w:rPr>
      </w:pPr>
    </w:p>
    <w:p w14:paraId="6C5AA6A7"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BRASIL. Lei 14.230, 25 de outubro de 2021. Brasília (DF): Presidência da República. Casa civil. Disponível em: </w:t>
      </w:r>
      <w:hyperlink r:id="rId17" w:anchor="art2" w:history="1">
        <w:r w:rsidRPr="008E403D">
          <w:rPr>
            <w:rFonts w:ascii="Times New Roman" w:hAnsi="Times New Roman"/>
          </w:rPr>
          <w:t>http://www.planalto.gov.br/ccivil_03/_Ato2019-2022/2021/Lei/L14230.htm#art2</w:t>
        </w:r>
      </w:hyperlink>
      <w:r w:rsidRPr="008E403D">
        <w:rPr>
          <w:rFonts w:ascii="Times New Roman" w:hAnsi="Times New Roman"/>
        </w:rPr>
        <w:t xml:space="preserve"> Acesso em: 25 out. 2022.</w:t>
      </w:r>
    </w:p>
    <w:p w14:paraId="6CB85086" w14:textId="77777777" w:rsidR="0060351C" w:rsidRPr="008E403D" w:rsidRDefault="0060351C" w:rsidP="008E403D">
      <w:pPr>
        <w:ind w:firstLine="850"/>
        <w:jc w:val="both"/>
        <w:rPr>
          <w:rFonts w:ascii="Times New Roman" w:hAnsi="Times New Roman"/>
        </w:rPr>
      </w:pPr>
    </w:p>
    <w:p w14:paraId="75F60842" w14:textId="77777777" w:rsidR="0060351C" w:rsidRPr="008E403D" w:rsidRDefault="0060351C" w:rsidP="008E403D">
      <w:pPr>
        <w:jc w:val="both"/>
        <w:rPr>
          <w:rFonts w:ascii="Times New Roman" w:hAnsi="Times New Roman" w:hint="eastAsia"/>
        </w:rPr>
      </w:pPr>
      <w:r w:rsidRPr="008E403D">
        <w:rPr>
          <w:rFonts w:ascii="Times New Roman" w:hAnsi="Times New Roman"/>
        </w:rPr>
        <w:t xml:space="preserve">BREGA FILHO, Vladimir. Proibição do retrocesso social: o estado da arte em Portugal e no Brasil. Revista Argumenta, do Programa de Mestrado em Ciência Jurídica, UENP – Universidade Estadual do Norte do Paraná, Jacarezinho, 2013, v. 19, p. 103-123. In: </w:t>
      </w:r>
      <w:hyperlink r:id="rId18" w:tgtFrame="_top">
        <w:r w:rsidRPr="008E403D">
          <w:rPr>
            <w:rFonts w:ascii="Times New Roman" w:hAnsi="Times New Roman"/>
          </w:rPr>
          <w:t>http://seer.uenp.edu.br/index.php/argumenta/</w:t>
        </w:r>
      </w:hyperlink>
      <w:r w:rsidRPr="008E403D">
        <w:rPr>
          <w:rFonts w:ascii="Times New Roman" w:hAnsi="Times New Roman"/>
        </w:rPr>
        <w:t xml:space="preserve"> article/view/409/pdf_36 Acesso em 25 de outubro de 2022.</w:t>
      </w:r>
    </w:p>
    <w:p w14:paraId="7AA7B53F" w14:textId="77777777" w:rsidR="0060351C" w:rsidRPr="008E403D" w:rsidRDefault="0060351C" w:rsidP="008E403D">
      <w:pPr>
        <w:ind w:firstLine="850"/>
        <w:jc w:val="both"/>
        <w:rPr>
          <w:rFonts w:ascii="Times New Roman" w:hAnsi="Times New Roman"/>
        </w:rPr>
      </w:pPr>
    </w:p>
    <w:p w14:paraId="0EE13A09" w14:textId="77777777" w:rsidR="0060351C" w:rsidRPr="008E403D" w:rsidRDefault="0060351C" w:rsidP="008E403D">
      <w:pPr>
        <w:pStyle w:val="Corpodetexto"/>
        <w:spacing w:after="0" w:line="240" w:lineRule="auto"/>
        <w:jc w:val="both"/>
        <w:rPr>
          <w:rFonts w:ascii="Times New Roman" w:hAnsi="Times New Roman" w:hint="eastAsia"/>
        </w:rPr>
      </w:pPr>
      <w:r w:rsidRPr="008E403D">
        <w:rPr>
          <w:rFonts w:ascii="Times New Roman" w:hAnsi="Times New Roman"/>
        </w:rPr>
        <w:t>COSTA, Paulo Nogueira da. O Tribunal de Contas e a boa governança: contributo para uma reforma do controle financeiro externo em Portugal. Coimbra: Coimbra Editora, 2014.</w:t>
      </w:r>
    </w:p>
    <w:p w14:paraId="717C2064" w14:textId="77777777" w:rsidR="0060351C" w:rsidRPr="008E403D" w:rsidRDefault="0060351C" w:rsidP="008E403D">
      <w:pPr>
        <w:ind w:firstLine="850"/>
        <w:jc w:val="both"/>
        <w:rPr>
          <w:rFonts w:ascii="Times New Roman" w:hAnsi="Times New Roman"/>
        </w:rPr>
      </w:pPr>
    </w:p>
    <w:p w14:paraId="41F39437" w14:textId="77777777" w:rsidR="0060351C" w:rsidRPr="008E403D" w:rsidRDefault="0060351C" w:rsidP="008E403D">
      <w:pPr>
        <w:pStyle w:val="Corpodetexto"/>
        <w:spacing w:after="0" w:line="240" w:lineRule="auto"/>
        <w:jc w:val="both"/>
        <w:rPr>
          <w:rFonts w:ascii="Times New Roman" w:hAnsi="Times New Roman"/>
        </w:rPr>
      </w:pPr>
      <w:r w:rsidRPr="008E403D">
        <w:rPr>
          <w:rFonts w:ascii="Times New Roman" w:hAnsi="Times New Roman"/>
        </w:rPr>
        <w:t xml:space="preserve">FREITAS, Juarez. As políticas públicas e o direito fundamental à boa administração. Nomos: Revista do programa de Pós-graduação em Direito da UFC. v. 35.1, jan./jun. 2015. p. 195-217. Disponível em: </w:t>
      </w:r>
      <w:hyperlink r:id="rId19" w:history="1">
        <w:r w:rsidRPr="008E403D">
          <w:t>http://www.periodicos.ufc.br/nomos/article/view/2079/1555</w:t>
        </w:r>
      </w:hyperlink>
      <w:r w:rsidRPr="008E403D">
        <w:rPr>
          <w:rFonts w:ascii="Times New Roman" w:hAnsi="Times New Roman"/>
        </w:rPr>
        <w:t>. Acesso em: 25 out. 2022.</w:t>
      </w:r>
    </w:p>
    <w:p w14:paraId="3889CD6F" w14:textId="77777777" w:rsidR="0060351C" w:rsidRPr="008E403D" w:rsidRDefault="0060351C" w:rsidP="008E403D">
      <w:pPr>
        <w:jc w:val="both"/>
        <w:rPr>
          <w:rFonts w:ascii="Times New Roman" w:hAnsi="Times New Roman"/>
        </w:rPr>
      </w:pPr>
    </w:p>
    <w:p w14:paraId="199AF1CB" w14:textId="77777777" w:rsidR="0060351C" w:rsidRPr="008E403D" w:rsidRDefault="0060351C" w:rsidP="008E403D">
      <w:pPr>
        <w:jc w:val="both"/>
        <w:rPr>
          <w:rFonts w:ascii="Times New Roman" w:hAnsi="Times New Roman" w:hint="eastAsia"/>
        </w:rPr>
      </w:pPr>
      <w:r w:rsidRPr="008E403D">
        <w:rPr>
          <w:rFonts w:ascii="Times New Roman" w:hAnsi="Times New Roman"/>
        </w:rPr>
        <w:t>FREITAS, Juarez. O controle dos atos administrativos e os princípios fundamentais. 4. ed., São Paulo: Malheiros, 2009.</w:t>
      </w:r>
    </w:p>
    <w:p w14:paraId="683AC3BF" w14:textId="77777777" w:rsidR="0060351C" w:rsidRPr="008E403D" w:rsidRDefault="0060351C" w:rsidP="008E403D">
      <w:pPr>
        <w:ind w:firstLine="850"/>
        <w:jc w:val="both"/>
        <w:rPr>
          <w:rFonts w:ascii="Times New Roman" w:hAnsi="Times New Roman"/>
        </w:rPr>
      </w:pPr>
    </w:p>
    <w:p w14:paraId="31746FC6" w14:textId="77777777" w:rsidR="0060351C" w:rsidRPr="008E403D" w:rsidRDefault="0060351C" w:rsidP="008E403D">
      <w:pPr>
        <w:shd w:val="clear" w:color="auto" w:fill="FFFFFF"/>
        <w:jc w:val="both"/>
        <w:rPr>
          <w:rFonts w:ascii="Times New Roman" w:hAnsi="Times New Roman" w:hint="eastAsia"/>
        </w:rPr>
      </w:pPr>
      <w:r w:rsidRPr="008E403D">
        <w:rPr>
          <w:rFonts w:ascii="Times New Roman" w:hAnsi="Times New Roman"/>
        </w:rPr>
        <w:t xml:space="preserve">HOOD, Christopher. The “New Public Management” in the 1980s: variations on a theme. Accounting Organizations and Society. V. 20, n. 2/3 pp. 93-109, 1995. Disponível em: </w:t>
      </w:r>
      <w:hyperlink r:id="rId20">
        <w:r w:rsidRPr="008E403D">
          <w:rPr>
            <w:rFonts w:ascii="Times New Roman" w:hAnsi="Times New Roman" w:hint="eastAsia"/>
          </w:rPr>
          <w:t>https://citeseerx.ist.psu.edu/viewdoc/download?doi=10.1.1.464.4899&amp;rep=rep1&amp;type=pdf</w:t>
        </w:r>
      </w:hyperlink>
      <w:r w:rsidRPr="008E403D">
        <w:rPr>
          <w:rFonts w:ascii="Times New Roman" w:hAnsi="Times New Roman"/>
        </w:rPr>
        <w:t xml:space="preserve"> Acesso em: 25 out. 2022.</w:t>
      </w:r>
    </w:p>
    <w:p w14:paraId="5AF0BC4B" w14:textId="77777777" w:rsidR="0060351C" w:rsidRPr="008E403D" w:rsidRDefault="0060351C" w:rsidP="008E403D">
      <w:pPr>
        <w:ind w:firstLine="850"/>
        <w:jc w:val="both"/>
        <w:rPr>
          <w:rFonts w:ascii="Times New Roman" w:hAnsi="Times New Roman"/>
        </w:rPr>
      </w:pPr>
    </w:p>
    <w:p w14:paraId="60748061" w14:textId="77777777" w:rsidR="0060351C" w:rsidRPr="008E403D" w:rsidRDefault="0060351C" w:rsidP="008E403D">
      <w:pPr>
        <w:shd w:val="clear" w:color="auto" w:fill="FFFFFF"/>
        <w:jc w:val="both"/>
        <w:rPr>
          <w:rFonts w:ascii="Times New Roman" w:hAnsi="Times New Roman" w:hint="eastAsia"/>
        </w:rPr>
      </w:pPr>
      <w:r w:rsidRPr="008E403D">
        <w:rPr>
          <w:rFonts w:ascii="Times New Roman" w:hAnsi="Times New Roman"/>
        </w:rPr>
        <w:t xml:space="preserve">ISMAIL FILHO, Salomão. A Importância da Atuação Preventiva do Ministério Público: Ombudsman em prol da boa Administração, no Combate à Improbidade Administrativa. Revista do CNMP, Improbidade administrative, n. 5. Brasília: Conselho Nacional do Ministério Público, 2015. p. 105-128. DOI: </w:t>
      </w:r>
      <w:hyperlink r:id="rId21" w:tgtFrame="_top">
        <w:r w:rsidRPr="008E403D">
          <w:rPr>
            <w:rFonts w:ascii="Times New Roman" w:hAnsi="Times New Roman"/>
          </w:rPr>
          <w:t>https://doi.org/10.36662/revistadocnmp.i5.83</w:t>
        </w:r>
      </w:hyperlink>
      <w:r w:rsidRPr="008E403D">
        <w:rPr>
          <w:rFonts w:ascii="Times New Roman" w:hAnsi="Times New Roman"/>
        </w:rPr>
        <w:t xml:space="preserve">  Acesso em: 25 out. 2022.</w:t>
      </w:r>
    </w:p>
    <w:p w14:paraId="706E0218" w14:textId="77777777" w:rsidR="0060351C" w:rsidRPr="008E403D" w:rsidRDefault="0060351C" w:rsidP="008E403D">
      <w:pPr>
        <w:shd w:val="clear" w:color="auto" w:fill="FFFFFF"/>
        <w:ind w:firstLine="850"/>
        <w:jc w:val="both"/>
        <w:rPr>
          <w:rFonts w:ascii="Times New Roman" w:hAnsi="Times New Roman"/>
        </w:rPr>
      </w:pPr>
    </w:p>
    <w:p w14:paraId="47535265" w14:textId="77777777" w:rsidR="0060351C" w:rsidRPr="008E403D" w:rsidRDefault="0060351C" w:rsidP="008E403D">
      <w:pPr>
        <w:shd w:val="clear" w:color="auto" w:fill="FFFFFF"/>
        <w:jc w:val="both"/>
        <w:rPr>
          <w:rFonts w:ascii="Times New Roman" w:hAnsi="Times New Roman" w:hint="eastAsia"/>
        </w:rPr>
      </w:pPr>
      <w:r w:rsidRPr="008E403D">
        <w:rPr>
          <w:rFonts w:ascii="Times New Roman" w:hAnsi="Times New Roman"/>
        </w:rPr>
        <w:t xml:space="preserve">MINISTÉRIO PÚBLICO DA UNIÃO. História do Ministério Público no Brasil. Ministério Público da União, sem data. Disponível em: </w:t>
      </w:r>
      <w:hyperlink r:id="rId22">
        <w:r w:rsidRPr="008E403D">
          <w:rPr>
            <w:rFonts w:ascii="Times New Roman" w:hAnsi="Times New Roman" w:hint="eastAsia"/>
          </w:rPr>
          <w:t>http://www.mpu.mp.br/navegacao/institucional/historico</w:t>
        </w:r>
      </w:hyperlink>
      <w:r w:rsidRPr="008E403D">
        <w:rPr>
          <w:rFonts w:ascii="Times New Roman" w:hAnsi="Times New Roman" w:hint="eastAsia"/>
        </w:rPr>
        <w:t>.</w:t>
      </w:r>
      <w:r w:rsidRPr="008E403D">
        <w:rPr>
          <w:rFonts w:ascii="Times New Roman" w:hAnsi="Times New Roman"/>
        </w:rPr>
        <w:t xml:space="preserve"> Acesso em: 25 out. 2022.</w:t>
      </w:r>
    </w:p>
    <w:p w14:paraId="628CDA4F" w14:textId="77777777" w:rsidR="0060351C" w:rsidRPr="008E403D" w:rsidRDefault="0060351C" w:rsidP="008E403D">
      <w:pPr>
        <w:pStyle w:val="Corpodetexto"/>
        <w:spacing w:after="0" w:line="240" w:lineRule="auto"/>
        <w:ind w:firstLine="850"/>
        <w:jc w:val="both"/>
        <w:rPr>
          <w:rFonts w:ascii="Times New Roman" w:hAnsi="Times New Roman"/>
        </w:rPr>
      </w:pPr>
    </w:p>
    <w:p w14:paraId="509FFEEF" w14:textId="77777777" w:rsidR="0060351C" w:rsidRPr="008E403D" w:rsidRDefault="0060351C" w:rsidP="008E403D">
      <w:pPr>
        <w:pStyle w:val="Textodenotaderodap"/>
        <w:shd w:val="clear" w:color="auto" w:fill="FFFFFF"/>
        <w:jc w:val="both"/>
        <w:rPr>
          <w:rFonts w:ascii="Times New Roman" w:hAnsi="Times New Roman" w:hint="eastAsia"/>
          <w:sz w:val="24"/>
        </w:rPr>
      </w:pPr>
      <w:r w:rsidRPr="008E403D">
        <w:rPr>
          <w:rFonts w:ascii="Times New Roman" w:hAnsi="Times New Roman"/>
          <w:sz w:val="24"/>
        </w:rPr>
        <w:t xml:space="preserve">NOBRE JÚNIOR, Edilson Pereira. O controle difuso e concreto de constitucionalidade na atualidade do Direito brasileiro: uma visão crítica. Duc in Altum, v. 14, n. 32, 2022, p 69-96. DOI: </w:t>
      </w:r>
      <w:hyperlink r:id="rId23" w:tgtFrame="_top">
        <w:r w:rsidRPr="008E403D">
          <w:rPr>
            <w:rFonts w:ascii="Times New Roman" w:hAnsi="Times New Roman" w:hint="eastAsia"/>
            <w:sz w:val="24"/>
          </w:rPr>
          <w:t>https://doi.org/10.22293/2179507x.v14i32</w:t>
        </w:r>
      </w:hyperlink>
      <w:r w:rsidRPr="008E403D">
        <w:rPr>
          <w:rFonts w:ascii="Times New Roman" w:hAnsi="Times New Roman"/>
          <w:sz w:val="24"/>
        </w:rPr>
        <w:t xml:space="preserve">  Acesso em: 25 out. 2022.</w:t>
      </w:r>
    </w:p>
    <w:p w14:paraId="250408CB" w14:textId="77777777" w:rsidR="0060351C" w:rsidRPr="008E403D" w:rsidRDefault="0060351C" w:rsidP="008E403D">
      <w:pPr>
        <w:pStyle w:val="Textodenotaderodap"/>
        <w:shd w:val="clear" w:color="auto" w:fill="FFFFFF"/>
        <w:ind w:firstLine="850"/>
        <w:jc w:val="both"/>
        <w:rPr>
          <w:rFonts w:ascii="Times New Roman" w:hAnsi="Times New Roman"/>
          <w:sz w:val="24"/>
        </w:rPr>
      </w:pPr>
      <w:bookmarkStart w:id="1" w:name="_GoBack"/>
      <w:bookmarkEnd w:id="1"/>
    </w:p>
    <w:p w14:paraId="26D211CA" w14:textId="77777777" w:rsidR="0060351C" w:rsidRPr="008E403D" w:rsidRDefault="0060351C" w:rsidP="008E403D">
      <w:pPr>
        <w:jc w:val="both"/>
        <w:rPr>
          <w:rFonts w:ascii="Times New Roman" w:hAnsi="Times New Roman" w:hint="eastAsia"/>
        </w:rPr>
      </w:pPr>
      <w:r w:rsidRPr="008E403D">
        <w:rPr>
          <w:rFonts w:ascii="Times New Roman" w:hAnsi="Times New Roman"/>
        </w:rPr>
        <w:t>NUNES JÚNIOR, Vidal Serrano. A cidadania social na Constituição de 1988: Estratégias de positivação e exigibilidade judicial dos direitos sociais. São Paulo: Verbatim, 2009.</w:t>
      </w:r>
    </w:p>
    <w:p w14:paraId="64013524" w14:textId="77777777" w:rsidR="0060351C" w:rsidRPr="008E403D" w:rsidRDefault="0060351C" w:rsidP="008E403D">
      <w:pPr>
        <w:ind w:firstLine="850"/>
        <w:jc w:val="both"/>
        <w:rPr>
          <w:rFonts w:ascii="Times New Roman" w:hAnsi="Times New Roman"/>
        </w:rPr>
      </w:pPr>
    </w:p>
    <w:p w14:paraId="1D60A037" w14:textId="77777777" w:rsidR="0060351C" w:rsidRPr="008E403D" w:rsidRDefault="0060351C" w:rsidP="008E403D">
      <w:pPr>
        <w:jc w:val="both"/>
        <w:rPr>
          <w:rFonts w:ascii="Times New Roman" w:hAnsi="Times New Roman"/>
        </w:rPr>
      </w:pPr>
      <w:r w:rsidRPr="008E403D">
        <w:rPr>
          <w:rFonts w:ascii="Times New Roman" w:hAnsi="Times New Roman"/>
        </w:rPr>
        <w:t>SANTIN, Valter Foleto. O controle judicial da segurança pública: eficiência do serviço na prevenção e repressão ao crime. 2. ed. São Paulo: Verbatim, 2013.</w:t>
      </w:r>
    </w:p>
    <w:p w14:paraId="1A01C61A" w14:textId="77777777" w:rsidR="000E7078" w:rsidRPr="008E403D" w:rsidRDefault="000E7078" w:rsidP="008E403D">
      <w:pPr>
        <w:jc w:val="both"/>
        <w:rPr>
          <w:rFonts w:ascii="Times New Roman" w:hAnsi="Times New Roman"/>
        </w:rPr>
      </w:pPr>
    </w:p>
    <w:p w14:paraId="1EEF144E" w14:textId="77777777" w:rsidR="0060351C" w:rsidRPr="008E403D" w:rsidRDefault="0060351C" w:rsidP="008E403D">
      <w:pPr>
        <w:shd w:val="clear" w:color="auto" w:fill="FFFFFF"/>
        <w:jc w:val="both"/>
        <w:rPr>
          <w:rFonts w:ascii="Times New Roman" w:hAnsi="Times New Roman"/>
        </w:rPr>
      </w:pPr>
      <w:r w:rsidRPr="008E403D">
        <w:rPr>
          <w:rFonts w:ascii="Times New Roman" w:hAnsi="Times New Roman"/>
        </w:rPr>
        <w:lastRenderedPageBreak/>
        <w:t>SANTIN, Valter Foleto. Vedação de nomeação para cargo de confiança de pessoa envolvida em improbidade administrativa. Revista Jurídica da Presidência, Brasília v. 20 n. 122 Out. 2018/Jan. 2019 p. 647-668 650 http://dx.doi.org/10.20499/2236-3645.RJP2018v20e122-1446.</w:t>
      </w:r>
    </w:p>
    <w:p w14:paraId="54EAC243" w14:textId="77777777" w:rsidR="0060351C" w:rsidRPr="008E403D" w:rsidRDefault="0060351C" w:rsidP="008E403D">
      <w:pPr>
        <w:pStyle w:val="Corpodetexto"/>
        <w:shd w:val="clear" w:color="auto" w:fill="FFFFFF"/>
        <w:spacing w:after="0" w:line="240" w:lineRule="auto"/>
        <w:ind w:firstLine="850"/>
        <w:jc w:val="both"/>
        <w:rPr>
          <w:rFonts w:ascii="Times New Roman" w:hAnsi="Times New Roman"/>
        </w:rPr>
      </w:pPr>
    </w:p>
    <w:p w14:paraId="4D2B5A95" w14:textId="77777777" w:rsidR="0060351C" w:rsidRPr="008E403D" w:rsidRDefault="0060351C" w:rsidP="008E403D">
      <w:pPr>
        <w:pStyle w:val="Corpodetexto"/>
        <w:spacing w:after="0" w:line="240" w:lineRule="auto"/>
        <w:jc w:val="both"/>
        <w:rPr>
          <w:rFonts w:ascii="Times New Roman" w:hAnsi="Times New Roman" w:hint="eastAsia"/>
        </w:rPr>
      </w:pPr>
      <w:r w:rsidRPr="008E403D">
        <w:rPr>
          <w:rFonts w:ascii="Times New Roman" w:hAnsi="Times New Roman"/>
        </w:rPr>
        <w:t xml:space="preserve">SARLET, Ingo Wolfgang; FENSTERSEIFER, Tiago. O direito constitucional-ambiental brasileiro e a governança judicial ecológica. Estudo à luz da jurisprudência do Superior Tribunal de Justiça e do Supremo Tribunal Federal. Constituição, Economia e Desenvolvimento: Revista da Academia Brasileira de Direito Constitucional. Curitiba, vol. 11, n. 20, jan-jul. 2019, p. 42-110. Disponível em: </w:t>
      </w:r>
      <w:hyperlink r:id="rId24" w:history="1">
        <w:r w:rsidRPr="008E403D">
          <w:rPr>
            <w:rFonts w:ascii="Times New Roman" w:hAnsi="Times New Roman" w:hint="eastAsia"/>
          </w:rPr>
          <w:t>https://repositorio.pucrs.br/dspace/bitstream/10923/18857/2/O_DIREITO_CONSTITUCIONALAMBIENTAL_BRASILEIRO_E_A_GOVERNANA_JUDICIAL_ECOLGICA_ESTUDO_LUZ_DA_JURISPRUDNCIA_DO.pdf</w:t>
        </w:r>
      </w:hyperlink>
      <w:r w:rsidRPr="008E403D">
        <w:rPr>
          <w:rFonts w:ascii="Times New Roman" w:hAnsi="Times New Roman" w:hint="eastAsia"/>
        </w:rPr>
        <w:t>.</w:t>
      </w:r>
      <w:r w:rsidRPr="008E403D">
        <w:rPr>
          <w:rFonts w:ascii="Times New Roman" w:hAnsi="Times New Roman"/>
        </w:rPr>
        <w:t xml:space="preserve"> Acesso em: 25 out. 2022.</w:t>
      </w:r>
    </w:p>
    <w:p w14:paraId="133EE298" w14:textId="77777777" w:rsidR="0060351C" w:rsidRPr="008E403D" w:rsidRDefault="0060351C" w:rsidP="008E403D">
      <w:pPr>
        <w:pStyle w:val="Corpodetexto"/>
        <w:shd w:val="clear" w:color="auto" w:fill="FFFFFF"/>
        <w:spacing w:after="0" w:line="240" w:lineRule="auto"/>
        <w:ind w:firstLine="850"/>
        <w:jc w:val="both"/>
        <w:rPr>
          <w:rFonts w:ascii="Times New Roman" w:hAnsi="Times New Roman"/>
        </w:rPr>
      </w:pPr>
    </w:p>
    <w:p w14:paraId="6E879A3D" w14:textId="77777777" w:rsidR="0060351C" w:rsidRPr="008E403D" w:rsidRDefault="0060351C" w:rsidP="008E403D">
      <w:pPr>
        <w:pStyle w:val="Corpodetexto"/>
        <w:shd w:val="clear" w:color="auto" w:fill="FFFFFF"/>
        <w:spacing w:after="0" w:line="240" w:lineRule="auto"/>
        <w:jc w:val="both"/>
        <w:rPr>
          <w:rFonts w:ascii="Times New Roman" w:hAnsi="Times New Roman" w:hint="eastAsia"/>
        </w:rPr>
      </w:pPr>
      <w:r w:rsidRPr="008E403D">
        <w:rPr>
          <w:rFonts w:ascii="Times New Roman" w:hAnsi="Times New Roman"/>
        </w:rPr>
        <w:t xml:space="preserve">SIQUEIRA, Dirceu Pereira; TATIBANA, Caroline Akemi. Pandemia da Covid-19: os desafios para tutela dos direitos da pessoa idosa e ação civil pública como instrumento de efetivação. Duc In Altum, ISSN 2159-507X, v. 14, n. 32, 2022, p. 48-68. Disponível em: </w:t>
      </w:r>
      <w:hyperlink r:id="rId25">
        <w:r w:rsidRPr="008E403D">
          <w:rPr>
            <w:rFonts w:ascii="Times New Roman" w:hAnsi="Times New Roman"/>
          </w:rPr>
          <w:t>https://revistas.faculdadedamas.edu.br/index.php/cihjur/article/view/1909/1798</w:t>
        </w:r>
      </w:hyperlink>
      <w:r w:rsidRPr="008E403D">
        <w:rPr>
          <w:rFonts w:ascii="Times New Roman" w:hAnsi="Times New Roman"/>
        </w:rPr>
        <w:t xml:space="preserve"> Acesso em: 25 out. 2022.</w:t>
      </w:r>
    </w:p>
    <w:p w14:paraId="6334F8C4" w14:textId="77777777" w:rsidR="0060351C" w:rsidRPr="008E403D" w:rsidRDefault="0060351C" w:rsidP="008E403D">
      <w:pPr>
        <w:pStyle w:val="Corpodetexto"/>
        <w:shd w:val="clear" w:color="auto" w:fill="FFFFFF"/>
        <w:spacing w:after="0" w:line="240" w:lineRule="auto"/>
        <w:ind w:firstLine="850"/>
        <w:jc w:val="both"/>
        <w:rPr>
          <w:rFonts w:ascii="Times New Roman" w:hAnsi="Times New Roman"/>
        </w:rPr>
      </w:pPr>
    </w:p>
    <w:p w14:paraId="0238528B" w14:textId="77777777" w:rsidR="0060351C" w:rsidRPr="008E403D" w:rsidRDefault="0060351C" w:rsidP="008E403D">
      <w:pPr>
        <w:pStyle w:val="Corpodetexto"/>
        <w:shd w:val="clear" w:color="auto" w:fill="FFFFFF"/>
        <w:spacing w:after="0" w:line="240" w:lineRule="auto"/>
        <w:jc w:val="both"/>
        <w:rPr>
          <w:rFonts w:ascii="Times New Roman" w:hAnsi="Times New Roman" w:hint="eastAsia"/>
        </w:rPr>
      </w:pPr>
      <w:r w:rsidRPr="008E403D">
        <w:rPr>
          <w:rFonts w:ascii="Times New Roman" w:hAnsi="Times New Roman"/>
        </w:rPr>
        <w:t xml:space="preserve">SUPREMO TRIBUNAL FEDERAL. Decisão de julgamento. Ações Diretas de Inconstitucionalidade n. 7.042 e 7.043. Requerente: Associação Nacional de Advogados Públicos Federais – ANAFE. Relator: Ministro Alexandre de Moraes. Brasília-DF, datada de 31 de agosto de 2022. Publicada em 02 de setembro de 2022, no DJE n. 177 </w:t>
      </w:r>
      <w:hyperlink r:id="rId26">
        <w:r w:rsidRPr="008E403D">
          <w:rPr>
            <w:rFonts w:ascii="Times New Roman" w:hAnsi="Times New Roman"/>
          </w:rPr>
          <w:t>https://portal.stf.jus.br/processos/detalhe.asp?incidente=6315635</w:t>
        </w:r>
      </w:hyperlink>
      <w:r w:rsidRPr="008E403D">
        <w:rPr>
          <w:rFonts w:ascii="Times New Roman" w:hAnsi="Times New Roman"/>
        </w:rPr>
        <w:t xml:space="preserve"> Acesso em: 25 out. 2022.</w:t>
      </w:r>
    </w:p>
    <w:p w14:paraId="45C36215" w14:textId="77777777" w:rsidR="0060351C" w:rsidRPr="008E403D" w:rsidRDefault="0060351C" w:rsidP="008E403D">
      <w:pPr>
        <w:pStyle w:val="Corpodetexto"/>
        <w:shd w:val="clear" w:color="auto" w:fill="FFFFFF"/>
        <w:spacing w:after="0" w:line="240" w:lineRule="auto"/>
        <w:ind w:firstLine="850"/>
        <w:jc w:val="both"/>
        <w:rPr>
          <w:rFonts w:ascii="Times New Roman" w:hAnsi="Times New Roman"/>
        </w:rPr>
      </w:pPr>
    </w:p>
    <w:p w14:paraId="73969353" w14:textId="77777777" w:rsidR="0060351C" w:rsidRPr="008E403D" w:rsidRDefault="0060351C" w:rsidP="008E403D">
      <w:pPr>
        <w:shd w:val="clear" w:color="auto" w:fill="FFFFFF"/>
        <w:jc w:val="both"/>
        <w:rPr>
          <w:rFonts w:ascii="Times New Roman" w:hAnsi="Times New Roman" w:hint="eastAsia"/>
        </w:rPr>
      </w:pPr>
      <w:r w:rsidRPr="008E403D">
        <w:rPr>
          <w:rFonts w:ascii="Times New Roman" w:hAnsi="Times New Roman"/>
        </w:rPr>
        <w:t xml:space="preserve">SUXBERGER, Antonio Henrique Graciano. A Atuação Fiscalizatória das Corregedorias do Ministério Público como instrumento de Avaliação de Políticas Públicas. Conselho Nacional do Ministério Público. Revista Jurídica Corregedoria Nacional: a atuação fiscalizadora das Corregedorias do Ministério Público, volume III. Brasília: CNMP, 2017, p. 35-52. Disponível em: </w:t>
      </w:r>
      <w:hyperlink r:id="rId27">
        <w:r w:rsidRPr="008E403D">
          <w:rPr>
            <w:rFonts w:ascii="Times New Roman" w:hAnsi="Times New Roman" w:hint="eastAsia"/>
          </w:rPr>
          <w:t>https://papers.ssrn.com/sol3/papers.cfm?abstract_id=3016645</w:t>
        </w:r>
      </w:hyperlink>
      <w:r w:rsidRPr="008E403D">
        <w:rPr>
          <w:rFonts w:ascii="Times New Roman" w:hAnsi="Times New Roman"/>
        </w:rPr>
        <w:t xml:space="preserve"> Acesso em: 25 out. 2022.</w:t>
      </w:r>
    </w:p>
    <w:p w14:paraId="729EC3DF" w14:textId="77777777" w:rsidR="0060351C" w:rsidRPr="008E403D" w:rsidRDefault="0060351C" w:rsidP="008E403D">
      <w:pPr>
        <w:shd w:val="clear" w:color="auto" w:fill="FFFFFF"/>
        <w:ind w:firstLine="850"/>
        <w:jc w:val="both"/>
        <w:rPr>
          <w:rFonts w:ascii="Times New Roman" w:hAnsi="Times New Roman"/>
        </w:rPr>
      </w:pPr>
    </w:p>
    <w:p w14:paraId="22D5EB9C" w14:textId="3ABA13E9" w:rsidR="002A2A46" w:rsidRDefault="0060351C" w:rsidP="008E403D">
      <w:pPr>
        <w:shd w:val="clear" w:color="auto" w:fill="FFFFFF"/>
        <w:jc w:val="both"/>
        <w:rPr>
          <w:rFonts w:ascii="Times New Roman" w:hAnsi="Times New Roman"/>
        </w:rPr>
      </w:pPr>
      <w:r w:rsidRPr="008E403D">
        <w:rPr>
          <w:rFonts w:ascii="Times New Roman" w:hAnsi="Times New Roman"/>
        </w:rPr>
        <w:t>VALLE, Vanice Regina Lírio do. Políticas públicas, direitos fundamentais e controle judicial. Belo Horizonte: Fórum, 2009.</w:t>
      </w:r>
    </w:p>
    <w:p w14:paraId="0F9AB2AE" w14:textId="2C365DDD" w:rsidR="008E403D" w:rsidRDefault="008E403D" w:rsidP="008E403D">
      <w:pPr>
        <w:shd w:val="clear" w:color="auto" w:fill="FFFFFF"/>
        <w:jc w:val="both"/>
        <w:rPr>
          <w:rFonts w:ascii="Times New Roman" w:hAnsi="Times New Roman"/>
        </w:rPr>
      </w:pPr>
    </w:p>
    <w:p w14:paraId="3CBBB549" w14:textId="77777777" w:rsidR="008E403D" w:rsidRPr="008E403D" w:rsidRDefault="008E403D" w:rsidP="008E403D">
      <w:pPr>
        <w:shd w:val="clear" w:color="auto" w:fill="FFFFFF"/>
        <w:jc w:val="both"/>
        <w:rPr>
          <w:rFonts w:ascii="Times New Roman" w:hAnsi="Times New Roman" w:hint="eastAsia"/>
        </w:rPr>
      </w:pPr>
    </w:p>
    <w:sectPr w:rsidR="008E403D" w:rsidRPr="008E403D" w:rsidSect="008E403D">
      <w:headerReference w:type="default" r:id="rId28"/>
      <w:footerReference w:type="default" r:id="rId29"/>
      <w:pgSz w:w="11906" w:h="16838"/>
      <w:pgMar w:top="1134" w:right="1134" w:bottom="1134" w:left="1134" w:header="0" w:footer="0" w:gutter="0"/>
      <w:pgNumType w:start="169"/>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F957" w14:textId="77777777" w:rsidR="00C01245" w:rsidRDefault="00C01245" w:rsidP="008E403D">
      <w:pPr>
        <w:rPr>
          <w:rFonts w:hint="eastAsia"/>
        </w:rPr>
      </w:pPr>
      <w:r>
        <w:separator/>
      </w:r>
    </w:p>
  </w:endnote>
  <w:endnote w:type="continuationSeparator" w:id="0">
    <w:p w14:paraId="4A6F3A30" w14:textId="77777777" w:rsidR="00C01245" w:rsidRDefault="00C01245" w:rsidP="008E40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b/>
        <w:sz w:val="28"/>
        <w:szCs w:val="28"/>
      </w:rPr>
      <w:id w:val="1374341105"/>
      <w:docPartObj>
        <w:docPartGallery w:val="Page Numbers (Bottom of Page)"/>
        <w:docPartUnique/>
      </w:docPartObj>
    </w:sdtPr>
    <w:sdtContent>
      <w:p w14:paraId="25404555" w14:textId="7AA1CD50" w:rsidR="008E403D" w:rsidRPr="008E403D" w:rsidRDefault="008E403D">
        <w:pPr>
          <w:pStyle w:val="Rodap"/>
          <w:jc w:val="right"/>
          <w:rPr>
            <w:rFonts w:ascii="Agency FB" w:hAnsi="Agency FB"/>
            <w:b/>
            <w:sz w:val="28"/>
            <w:szCs w:val="28"/>
          </w:rPr>
        </w:pPr>
        <w:r w:rsidRPr="008E403D">
          <w:rPr>
            <w:rFonts w:ascii="Agency FB" w:hAnsi="Agency FB"/>
            <w:b/>
            <w:sz w:val="28"/>
            <w:szCs w:val="28"/>
          </w:rPr>
          <w:fldChar w:fldCharType="begin"/>
        </w:r>
        <w:r w:rsidRPr="008E403D">
          <w:rPr>
            <w:rFonts w:ascii="Agency FB" w:hAnsi="Agency FB"/>
            <w:b/>
            <w:sz w:val="28"/>
            <w:szCs w:val="28"/>
          </w:rPr>
          <w:instrText>PAGE   \* MERGEFORMAT</w:instrText>
        </w:r>
        <w:r w:rsidRPr="008E403D">
          <w:rPr>
            <w:rFonts w:ascii="Agency FB" w:hAnsi="Agency FB"/>
            <w:b/>
            <w:sz w:val="28"/>
            <w:szCs w:val="28"/>
          </w:rPr>
          <w:fldChar w:fldCharType="separate"/>
        </w:r>
        <w:r w:rsidR="00CC1287">
          <w:rPr>
            <w:rFonts w:ascii="Agency FB" w:hAnsi="Agency FB"/>
            <w:b/>
            <w:noProof/>
            <w:sz w:val="28"/>
            <w:szCs w:val="28"/>
          </w:rPr>
          <w:t>173</w:t>
        </w:r>
        <w:r w:rsidRPr="008E403D">
          <w:rPr>
            <w:rFonts w:ascii="Agency FB" w:hAnsi="Agency FB"/>
            <w:b/>
            <w:sz w:val="28"/>
            <w:szCs w:val="28"/>
          </w:rPr>
          <w:fldChar w:fldCharType="end"/>
        </w:r>
      </w:p>
    </w:sdtContent>
  </w:sdt>
  <w:p w14:paraId="7658BCC8" w14:textId="77777777" w:rsidR="008E403D" w:rsidRPr="008E403D" w:rsidRDefault="008E403D">
    <w:pPr>
      <w:pStyle w:val="Rodap"/>
      <w:rPr>
        <w:rFonts w:ascii="Agency FB" w:hAnsi="Agency FB"/>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7A960" w14:textId="77777777" w:rsidR="00C01245" w:rsidRDefault="00C01245" w:rsidP="008E403D">
      <w:pPr>
        <w:rPr>
          <w:rFonts w:hint="eastAsia"/>
        </w:rPr>
      </w:pPr>
      <w:r>
        <w:separator/>
      </w:r>
    </w:p>
  </w:footnote>
  <w:footnote w:type="continuationSeparator" w:id="0">
    <w:p w14:paraId="796925D4" w14:textId="77777777" w:rsidR="00C01245" w:rsidRDefault="00C01245" w:rsidP="008E40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9BB8" w14:textId="77777777" w:rsidR="008E403D" w:rsidRDefault="008E403D" w:rsidP="008E403D">
    <w:pPr>
      <w:pStyle w:val="TEXTOCORRIDO"/>
    </w:pPr>
  </w:p>
  <w:p w14:paraId="4B097954" w14:textId="623240F3" w:rsidR="008E403D" w:rsidRDefault="008E403D" w:rsidP="008E403D">
    <w:pPr>
      <w:pStyle w:val="TEXTOCORRIDO"/>
    </w:pPr>
    <w:r w:rsidRPr="004B5A26">
      <w:t>BONAVIDES</w:t>
    </w:r>
    <w:r>
      <w:t>,</w:t>
    </w:r>
    <w:r w:rsidRPr="004B5A26">
      <w:t xml:space="preserve"> Samia Saad Gallotti</w:t>
    </w:r>
    <w:r>
      <w:t xml:space="preserve">; </w:t>
    </w:r>
    <w:r w:rsidRPr="004B5A26">
      <w:t>SANTIN</w:t>
    </w:r>
    <w:r>
      <w:t>,</w:t>
    </w:r>
    <w:r w:rsidRPr="004B5A26">
      <w:t xml:space="preserve"> Valter Foletto</w:t>
    </w:r>
    <w:r>
      <w:t xml:space="preserve">; </w:t>
    </w:r>
    <w:r w:rsidRPr="004B5A26">
      <w:t>ASSUMPÇÃO</w:t>
    </w:r>
    <w:r>
      <w:t>,</w:t>
    </w:r>
    <w:r w:rsidRPr="004B5A26">
      <w:t xml:space="preserve">  André Del Grossi</w:t>
    </w:r>
    <w:r>
      <w:t>.</w:t>
    </w:r>
    <w:r w:rsidRPr="004B5A26">
      <w:t xml:space="preserve"> Controle externo pelo Ministério Público como componente essencial do direito fundamental à boa governança</w:t>
    </w:r>
    <w:r>
      <w:t xml:space="preserve">. </w:t>
    </w:r>
    <w:r w:rsidRPr="001068EF">
      <w:rPr>
        <w:i/>
      </w:rPr>
      <w:t>RJESMPSP</w:t>
    </w:r>
    <w:r w:rsidRPr="001068EF">
      <w:t xml:space="preserve">, 22, 2022, P. </w:t>
    </w:r>
    <w:r>
      <w:t>167-186.</w:t>
    </w:r>
  </w:p>
  <w:p w14:paraId="468C443C" w14:textId="77777777" w:rsidR="008E403D" w:rsidRDefault="008E403D">
    <w:pPr>
      <w:pStyle w:val="Cabealho"/>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749D3"/>
    <w:multiLevelType w:val="multilevel"/>
    <w:tmpl w:val="EC4A696E"/>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46"/>
    <w:rsid w:val="0008461C"/>
    <w:rsid w:val="000E7078"/>
    <w:rsid w:val="0011136E"/>
    <w:rsid w:val="001F7BE5"/>
    <w:rsid w:val="002A2A46"/>
    <w:rsid w:val="002A7BD6"/>
    <w:rsid w:val="00311F7E"/>
    <w:rsid w:val="00354A53"/>
    <w:rsid w:val="0040698A"/>
    <w:rsid w:val="00450966"/>
    <w:rsid w:val="00492D77"/>
    <w:rsid w:val="004B0456"/>
    <w:rsid w:val="00542B67"/>
    <w:rsid w:val="005A3812"/>
    <w:rsid w:val="005A3ABD"/>
    <w:rsid w:val="005B124A"/>
    <w:rsid w:val="0060351C"/>
    <w:rsid w:val="00681778"/>
    <w:rsid w:val="006B289F"/>
    <w:rsid w:val="00701550"/>
    <w:rsid w:val="0072008D"/>
    <w:rsid w:val="00726650"/>
    <w:rsid w:val="00813217"/>
    <w:rsid w:val="008C09DD"/>
    <w:rsid w:val="008E0E98"/>
    <w:rsid w:val="008E403D"/>
    <w:rsid w:val="00910025"/>
    <w:rsid w:val="00994826"/>
    <w:rsid w:val="00AF7B3F"/>
    <w:rsid w:val="00BA16F2"/>
    <w:rsid w:val="00BC26CE"/>
    <w:rsid w:val="00BC5117"/>
    <w:rsid w:val="00C01245"/>
    <w:rsid w:val="00C10BB9"/>
    <w:rsid w:val="00C90A9E"/>
    <w:rsid w:val="00CB3460"/>
    <w:rsid w:val="00CC1287"/>
    <w:rsid w:val="00CF0B62"/>
    <w:rsid w:val="00D13D74"/>
    <w:rsid w:val="00DE2653"/>
    <w:rsid w:val="00DE75FB"/>
    <w:rsid w:val="00E52889"/>
    <w:rsid w:val="00E61640"/>
    <w:rsid w:val="00FA1BB7"/>
    <w:rsid w:val="00FF25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B3BF"/>
  <w15:docId w15:val="{B5C88B77-6FD9-4FB9-B4F7-55D6156C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Ttulo"/>
    <w:next w:val="Corpodetexto"/>
    <w:uiPriority w:val="9"/>
    <w:qFormat/>
    <w:pPr>
      <w:numPr>
        <w:numId w:val="1"/>
      </w:numPr>
      <w:outlineLvl w:val="0"/>
    </w:pPr>
    <w:rPr>
      <w:rFonts w:ascii="Liberation Serif" w:eastAsia="NSimSun" w:hAnsi="Liberation Serif"/>
      <w:b/>
      <w:bCs/>
      <w:sz w:val="48"/>
      <w:szCs w:val="48"/>
    </w:rPr>
  </w:style>
  <w:style w:type="paragraph" w:styleId="Ttulo2">
    <w:name w:val="heading 2"/>
    <w:basedOn w:val="Ttulo"/>
    <w:next w:val="Corpodetexto"/>
    <w:uiPriority w:val="9"/>
    <w:semiHidden/>
    <w:unhideWhenUsed/>
    <w:qFormat/>
    <w:pPr>
      <w:numPr>
        <w:ilvl w:val="1"/>
        <w:numId w:val="1"/>
      </w:numPr>
      <w:spacing w:before="200" w:after="0"/>
      <w:outlineLvl w:val="1"/>
    </w:pPr>
    <w:rPr>
      <w:rFonts w:ascii="Liberation Serif" w:eastAsia="NSimSun" w:hAnsi="Liberation Serif"/>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character" w:customStyle="1" w:styleId="Linkdainternetvisitado">
    <w:name w:val="Link da internet visitado"/>
    <w:rPr>
      <w:color w:val="800000"/>
      <w:u w:val="single"/>
    </w:rPr>
  </w:style>
  <w:style w:type="character" w:customStyle="1" w:styleId="ListLabel61">
    <w:name w:val="ListLabel 61"/>
    <w:qFormat/>
  </w:style>
  <w:style w:type="character" w:customStyle="1" w:styleId="Caracteresdenotaderodap">
    <w:name w:val="Caracteres de nota de rodapé"/>
    <w:qFormat/>
  </w:style>
  <w:style w:type="character" w:customStyle="1" w:styleId="ncoradanotaderodap">
    <w:name w:val="Âncora da nota de rodapé"/>
    <w:rPr>
      <w:sz w:val="16"/>
    </w:rPr>
  </w:style>
  <w:style w:type="character" w:customStyle="1" w:styleId="nfaseforte">
    <w:name w:val="Ênfase forte"/>
    <w:qFormat/>
    <w:rPr>
      <w:b/>
      <w:bCs/>
    </w:rPr>
  </w:style>
  <w:style w:type="character" w:styleId="nfase">
    <w:name w:val="Emphasis"/>
    <w:qFormat/>
    <w:rPr>
      <w:i/>
      <w:iCs/>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62">
    <w:name w:val="ListLabel 62"/>
    <w:qFormat/>
  </w:style>
  <w:style w:type="character" w:customStyle="1" w:styleId="ListLabel63">
    <w:name w:val="ListLabel 63"/>
    <w:qFormat/>
    <w:rPr>
      <w:rFonts w:ascii="Times New Roman" w:hAnsi="Times New Roman"/>
      <w:b w:val="0"/>
      <w:i w:val="0"/>
      <w:caps w:val="0"/>
      <w:smallCaps w:val="0"/>
      <w:strike w:val="0"/>
      <w:dstrike w:val="0"/>
      <w:color w:val="000000"/>
      <w:spacing w:val="0"/>
      <w:sz w:val="24"/>
      <w:szCs w:val="24"/>
      <w:highlight w:val="white"/>
      <w:u w:val="none"/>
      <w:effect w:val="none"/>
    </w:rPr>
  </w:style>
  <w:style w:type="character" w:customStyle="1" w:styleId="ListLabel64">
    <w:name w:val="ListLabel 64"/>
    <w:qFormat/>
    <w:rPr>
      <w:rFonts w:ascii="Times New Roman" w:hAnsi="Times New Roman"/>
      <w:color w:val="000000"/>
      <w:sz w:val="24"/>
      <w:szCs w:val="24"/>
      <w:highlight w:val="white"/>
    </w:rPr>
  </w:style>
  <w:style w:type="character" w:customStyle="1" w:styleId="ListLabel65">
    <w:name w:val="ListLabel 65"/>
    <w:qFormat/>
    <w:rPr>
      <w:rFonts w:ascii="Times New Roman" w:hAnsi="Times New Roman"/>
      <w:color w:val="000000"/>
      <w:sz w:val="24"/>
      <w:szCs w:val="24"/>
    </w:rPr>
  </w:style>
  <w:style w:type="character" w:customStyle="1" w:styleId="ListLabel66">
    <w:name w:val="ListLabel 66"/>
    <w:qFormat/>
    <w:rPr>
      <w:rFonts w:ascii="Times New Roman" w:hAnsi="Times New Roman"/>
      <w:color w:val="000000"/>
      <w:sz w:val="24"/>
      <w:szCs w:val="24"/>
      <w:highlight w:val="white"/>
      <w:u w:val="none"/>
    </w:rPr>
  </w:style>
  <w:style w:type="character" w:customStyle="1" w:styleId="ListLabel67">
    <w:name w:val="ListLabel 67"/>
    <w:qFormat/>
    <w:rPr>
      <w:rFonts w:ascii="Times New Roman" w:hAnsi="Times New Roman"/>
      <w:color w:val="000000"/>
      <w:sz w:val="24"/>
      <w:szCs w:val="24"/>
      <w:highlight w:val="white"/>
      <w:lang w:val="en-US"/>
    </w:rPr>
  </w:style>
  <w:style w:type="character" w:customStyle="1" w:styleId="ListLabel68">
    <w:name w:val="ListLabel 68"/>
    <w:qFormat/>
  </w:style>
  <w:style w:type="character" w:customStyle="1" w:styleId="ListLabel69">
    <w:name w:val="ListLabel 69"/>
    <w:qFormat/>
    <w:rPr>
      <w:rFonts w:ascii="Times New Roman" w:hAnsi="Times New Roman"/>
      <w:b w:val="0"/>
      <w:i w:val="0"/>
      <w:caps w:val="0"/>
      <w:smallCaps w:val="0"/>
      <w:strike w:val="0"/>
      <w:dstrike w:val="0"/>
      <w:color w:val="000000"/>
      <w:spacing w:val="0"/>
      <w:sz w:val="24"/>
      <w:szCs w:val="24"/>
      <w:highlight w:val="white"/>
      <w:u w:val="none"/>
      <w:effect w:val="none"/>
    </w:rPr>
  </w:style>
  <w:style w:type="character" w:customStyle="1" w:styleId="ListLabel70">
    <w:name w:val="ListLabel 70"/>
    <w:qFormat/>
    <w:rPr>
      <w:rFonts w:ascii="Times New Roman" w:hAnsi="Times New Roman"/>
      <w:color w:val="000000"/>
      <w:sz w:val="24"/>
      <w:szCs w:val="24"/>
      <w:highlight w:val="white"/>
    </w:rPr>
  </w:style>
  <w:style w:type="character" w:customStyle="1" w:styleId="ListLabel71">
    <w:name w:val="ListLabel 71"/>
    <w:qFormat/>
    <w:rPr>
      <w:rFonts w:ascii="Times New Roman" w:hAnsi="Times New Roman"/>
      <w:color w:val="000000"/>
      <w:sz w:val="24"/>
      <w:szCs w:val="24"/>
    </w:rPr>
  </w:style>
  <w:style w:type="character" w:customStyle="1" w:styleId="ListLabel72">
    <w:name w:val="ListLabel 72"/>
    <w:qFormat/>
    <w:rPr>
      <w:rFonts w:ascii="Times New Roman" w:hAnsi="Times New Roman"/>
      <w:color w:val="000000"/>
      <w:sz w:val="24"/>
      <w:szCs w:val="24"/>
      <w:highlight w:val="white"/>
      <w:u w:val="none"/>
    </w:rPr>
  </w:style>
  <w:style w:type="character" w:customStyle="1" w:styleId="ListLabel73">
    <w:name w:val="ListLabel 73"/>
    <w:qFormat/>
    <w:rPr>
      <w:rFonts w:ascii="Times New Roman" w:hAnsi="Times New Roman"/>
      <w:color w:val="000000"/>
      <w:sz w:val="24"/>
      <w:szCs w:val="24"/>
      <w:highlight w:val="white"/>
      <w:lang w:val="en-US"/>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pPr>
      <w:suppressAutoHyphens/>
    </w:pPr>
    <w:rPr>
      <w:sz w:val="24"/>
    </w:rPr>
  </w:style>
  <w:style w:type="paragraph" w:styleId="Textodenotaderodap">
    <w:name w:val="footnote text"/>
    <w:basedOn w:val="Normal"/>
    <w:link w:val="TextodenotaderodapChar"/>
    <w:qFormat/>
    <w:rPr>
      <w:sz w:val="20"/>
    </w:rPr>
  </w:style>
  <w:style w:type="paragraph" w:customStyle="1" w:styleId="Textoprformatado">
    <w:name w:val="Texto préformatado"/>
    <w:basedOn w:val="Normal"/>
    <w:qFormat/>
    <w:rPr>
      <w:rFonts w:ascii="Liberation Mono" w:hAnsi="Liberation Mono" w:cs="Liberation Mono"/>
      <w:sz w:val="20"/>
      <w:szCs w:val="20"/>
    </w:rPr>
  </w:style>
  <w:style w:type="paragraph" w:styleId="Reviso">
    <w:name w:val="Revision"/>
    <w:hidden/>
    <w:uiPriority w:val="99"/>
    <w:semiHidden/>
    <w:rsid w:val="00492D77"/>
    <w:rPr>
      <w:rFonts w:cs="Mangal"/>
      <w:sz w:val="24"/>
      <w:szCs w:val="21"/>
    </w:rPr>
  </w:style>
  <w:style w:type="character" w:customStyle="1" w:styleId="TextodenotaderodapChar">
    <w:name w:val="Texto de nota de rodapé Char"/>
    <w:basedOn w:val="Fontepargpadro"/>
    <w:link w:val="Textodenotaderodap"/>
    <w:rsid w:val="0060351C"/>
  </w:style>
  <w:style w:type="character" w:styleId="Hyperlink">
    <w:name w:val="Hyperlink"/>
    <w:basedOn w:val="Fontepargpadro"/>
    <w:uiPriority w:val="99"/>
    <w:unhideWhenUsed/>
    <w:rsid w:val="0060351C"/>
    <w:rPr>
      <w:color w:val="0563C1" w:themeColor="hyperlink"/>
      <w:u w:val="single"/>
    </w:rPr>
  </w:style>
  <w:style w:type="paragraph" w:styleId="Textodebalo">
    <w:name w:val="Balloon Text"/>
    <w:basedOn w:val="Normal"/>
    <w:link w:val="TextodebaloChar"/>
    <w:uiPriority w:val="99"/>
    <w:semiHidden/>
    <w:unhideWhenUsed/>
    <w:rsid w:val="008E403D"/>
    <w:rPr>
      <w:rFonts w:ascii="Segoe UI" w:hAnsi="Segoe UI" w:cs="Mangal"/>
      <w:sz w:val="18"/>
      <w:szCs w:val="16"/>
    </w:rPr>
  </w:style>
  <w:style w:type="character" w:customStyle="1" w:styleId="TextodebaloChar">
    <w:name w:val="Texto de balão Char"/>
    <w:basedOn w:val="Fontepargpadro"/>
    <w:link w:val="Textodebalo"/>
    <w:uiPriority w:val="99"/>
    <w:semiHidden/>
    <w:rsid w:val="008E403D"/>
    <w:rPr>
      <w:rFonts w:ascii="Segoe UI" w:hAnsi="Segoe UI" w:cs="Mangal"/>
      <w:sz w:val="18"/>
      <w:szCs w:val="16"/>
    </w:rPr>
  </w:style>
  <w:style w:type="paragraph" w:styleId="Cabealho">
    <w:name w:val="header"/>
    <w:basedOn w:val="Normal"/>
    <w:link w:val="CabealhoChar"/>
    <w:uiPriority w:val="99"/>
    <w:unhideWhenUsed/>
    <w:rsid w:val="008E403D"/>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8E403D"/>
    <w:rPr>
      <w:rFonts w:cs="Mangal"/>
      <w:sz w:val="24"/>
      <w:szCs w:val="21"/>
    </w:rPr>
  </w:style>
  <w:style w:type="paragraph" w:styleId="Rodap">
    <w:name w:val="footer"/>
    <w:basedOn w:val="Normal"/>
    <w:link w:val="RodapChar"/>
    <w:uiPriority w:val="99"/>
    <w:unhideWhenUsed/>
    <w:rsid w:val="008E403D"/>
    <w:pPr>
      <w:tabs>
        <w:tab w:val="center" w:pos="4252"/>
        <w:tab w:val="right" w:pos="8504"/>
      </w:tabs>
    </w:pPr>
    <w:rPr>
      <w:rFonts w:cs="Mangal"/>
      <w:szCs w:val="21"/>
    </w:rPr>
  </w:style>
  <w:style w:type="character" w:customStyle="1" w:styleId="RodapChar">
    <w:name w:val="Rodapé Char"/>
    <w:basedOn w:val="Fontepargpadro"/>
    <w:link w:val="Rodap"/>
    <w:uiPriority w:val="99"/>
    <w:rsid w:val="008E403D"/>
    <w:rPr>
      <w:rFonts w:cs="Mangal"/>
      <w:sz w:val="24"/>
      <w:szCs w:val="21"/>
    </w:rPr>
  </w:style>
  <w:style w:type="paragraph" w:customStyle="1" w:styleId="TEXTOCORRIDO">
    <w:name w:val="TEXTO CORRIDO"/>
    <w:link w:val="TEXTOCORRIDOChar"/>
    <w:autoRedefine/>
    <w:qFormat/>
    <w:rsid w:val="008E403D"/>
    <w:pPr>
      <w:suppressAutoHyphens/>
      <w:jc w:val="center"/>
    </w:pPr>
    <w:rPr>
      <w:rFonts w:ascii="Agency FB" w:eastAsia="Calibri" w:hAnsi="Agency FB" w:cs="Times New Roman"/>
      <w:b/>
      <w:kern w:val="0"/>
      <w:sz w:val="28"/>
      <w:szCs w:val="28"/>
      <w:lang w:eastAsia="pt-BR" w:bidi="ar-SA"/>
    </w:rPr>
  </w:style>
  <w:style w:type="character" w:customStyle="1" w:styleId="TEXTOCORRIDOChar">
    <w:name w:val="TEXTO CORRIDO Char"/>
    <w:basedOn w:val="Fontepargpadro"/>
    <w:link w:val="TEXTOCORRIDO"/>
    <w:rsid w:val="008E403D"/>
    <w:rPr>
      <w:rFonts w:ascii="Agency FB" w:eastAsia="Calibri" w:hAnsi="Agency FB" w:cs="Times New Roman"/>
      <w:b/>
      <w:kern w:val="0"/>
      <w:sz w:val="28"/>
      <w:szCs w:val="28"/>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429.htm" TargetMode="External"/><Relationship Id="rId18" Type="http://schemas.openxmlformats.org/officeDocument/2006/relationships/hyperlink" Target="http://seer.uenp.edu.br/index.php/argumenta/" TargetMode="External"/><Relationship Id="rId26" Type="http://schemas.openxmlformats.org/officeDocument/2006/relationships/hyperlink" Target="https://portal.stf.jus.br/processos/detalhe.asp?incidente=6315635" TargetMode="External"/><Relationship Id="rId3" Type="http://schemas.openxmlformats.org/officeDocument/2006/relationships/customXml" Target="../customXml/item3.xml"/><Relationship Id="rId21" Type="http://schemas.openxmlformats.org/officeDocument/2006/relationships/hyperlink" Target="https://doi.org/10.36662/revistadocnmp.i5.83" TargetMode="External"/><Relationship Id="rId7" Type="http://schemas.openxmlformats.org/officeDocument/2006/relationships/settings" Target="settings.xml"/><Relationship Id="rId12" Type="http://schemas.openxmlformats.org/officeDocument/2006/relationships/hyperlink" Target="http://www.planalto.gov.br/ccivil_03/leis/l7347orig.htm" TargetMode="External"/><Relationship Id="rId17" Type="http://schemas.openxmlformats.org/officeDocument/2006/relationships/hyperlink" Target="http://www.planalto.gov.br/ccivil_03/_Ato2019-2022/2021/Lei/L14230.htm" TargetMode="External"/><Relationship Id="rId25" Type="http://schemas.openxmlformats.org/officeDocument/2006/relationships/hyperlink" Target="https://revistas.faculdadedamas.edu.br/index.php/cihjur/article/view/1909/1798" TargetMode="External"/><Relationship Id="rId2" Type="http://schemas.openxmlformats.org/officeDocument/2006/relationships/customXml" Target="../customXml/item2.xml"/><Relationship Id="rId16" Type="http://schemas.openxmlformats.org/officeDocument/2006/relationships/hyperlink" Target="file:///C:/Users/ticianenatale/Downloads/_top" TargetMode="External"/><Relationship Id="rId20" Type="http://schemas.openxmlformats.org/officeDocument/2006/relationships/hyperlink" Target="https://citeseerx.ist.psu.edu/viewdoc/download?doi=10.1.1.464.4899&amp;rep=rep1&amp;type=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s://repositorio.pucrs.br/dspace/bitstream/10923/18857/2/O_DIREITO_CONSTITUCIONALAMBIENTAL_BRASILEIRO_E_A_GOVERNANA_JUDICIAL_ECOLGICA_ESTUDO_LUZ_DA_JURISPRUDNCIA_DO.pdf" TargetMode="External"/><Relationship Id="rId5" Type="http://schemas.openxmlformats.org/officeDocument/2006/relationships/numbering" Target="numbering.xml"/><Relationship Id="rId15" Type="http://schemas.openxmlformats.org/officeDocument/2006/relationships/hyperlink" Target="http://www.planalto.gov.br/ccivil_03/leis/lcp/lcp75.htm" TargetMode="External"/><Relationship Id="rId23" Type="http://schemas.openxmlformats.org/officeDocument/2006/relationships/hyperlink" Target="https://doi.org/10.22293/2179507x.v14i3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eriodicos.ufc.br/nomos/article/view/2079/155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leis/l8625.htm" TargetMode="External"/><Relationship Id="rId22" Type="http://schemas.openxmlformats.org/officeDocument/2006/relationships/hyperlink" Target="http://www.mpu.mp.br/navegacao/institucional/historico" TargetMode="External"/><Relationship Id="rId27" Type="http://schemas.openxmlformats.org/officeDocument/2006/relationships/hyperlink" Target="https://papers.ssrn.com/sol3/papers.cfm?abstract_id=3016645"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3B972F17E65BE46A017A9F07B648667" ma:contentTypeVersion="19" ma:contentTypeDescription="Crie um novo documento." ma:contentTypeScope="" ma:versionID="b92a3840abcba0b0beb4b1fb3453be8f">
  <xsd:schema xmlns:xsd="http://www.w3.org/2001/XMLSchema" xmlns:xs="http://www.w3.org/2001/XMLSchema" xmlns:p="http://schemas.microsoft.com/office/2006/metadata/properties" xmlns:ns1="http://schemas.microsoft.com/sharepoint/v3" xmlns:ns2="150da76f-405a-419a-91db-a699e26d9587" xmlns:ns3="bd1d5d90-8362-4901-9527-6a0e1277a90f" targetNamespace="http://schemas.microsoft.com/office/2006/metadata/properties" ma:root="true" ma:fieldsID="b39f03f7d994d6e7d68fedb15e3bf0c5" ns1:_="" ns2:_="" ns3:_="">
    <xsd:import namespace="http://schemas.microsoft.com/sharepoint/v3"/>
    <xsd:import namespace="150da76f-405a-419a-91db-a699e26d9587"/>
    <xsd:import namespace="bd1d5d90-8362-4901-9527-6a0e1277a9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_Flow_SignoffStatu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da76f-405a-419a-91db-a699e26d958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09a75812-aeec-4006-9943-8ffe79c2987f}" ma:internalName="TaxCatchAll" ma:showField="CatchAllData" ma:web="150da76f-405a-419a-91db-a699e26d9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d5d90-8362-4901-9527-6a0e1277a9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a1443d17-1d47-4958-bede-35738f1082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0da76f-405a-419a-91db-a699e26d9587" xsi:nil="true"/>
    <_ip_UnifiedCompliancePolicyProperties xmlns="http://schemas.microsoft.com/sharepoint/v3" xsi:nil="true"/>
    <lcf76f155ced4ddcb4097134ff3c332f xmlns="bd1d5d90-8362-4901-9527-6a0e1277a90f">
      <Terms xmlns="http://schemas.microsoft.com/office/infopath/2007/PartnerControls"/>
    </lcf76f155ced4ddcb4097134ff3c332f>
    <_Flow_SignoffStatus xmlns="bd1d5d90-8362-4901-9527-6a0e1277a9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3757-1A99-4EC4-9C33-E8F24A0A93F9}">
  <ds:schemaRefs>
    <ds:schemaRef ds:uri="http://schemas.microsoft.com/sharepoint/v3/contenttype/forms"/>
  </ds:schemaRefs>
</ds:datastoreItem>
</file>

<file path=customXml/itemProps2.xml><?xml version="1.0" encoding="utf-8"?>
<ds:datastoreItem xmlns:ds="http://schemas.openxmlformats.org/officeDocument/2006/customXml" ds:itemID="{DE2B80D1-11AE-4C53-B0B1-8C814DA9C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da76f-405a-419a-91db-a699e26d9587"/>
    <ds:schemaRef ds:uri="bd1d5d90-8362-4901-9527-6a0e1277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43C6F-AEBB-4214-99C2-4321FF926826}">
  <ds:schemaRefs>
    <ds:schemaRef ds:uri="http://schemas.microsoft.com/office/2006/metadata/properties"/>
    <ds:schemaRef ds:uri="http://schemas.microsoft.com/office/infopath/2007/PartnerControls"/>
    <ds:schemaRef ds:uri="http://schemas.microsoft.com/sharepoint/v3"/>
    <ds:schemaRef ds:uri="150da76f-405a-419a-91db-a699e26d9587"/>
    <ds:schemaRef ds:uri="bd1d5d90-8362-4901-9527-6a0e1277a90f"/>
  </ds:schemaRefs>
</ds:datastoreItem>
</file>

<file path=customXml/itemProps4.xml><?xml version="1.0" encoding="utf-8"?>
<ds:datastoreItem xmlns:ds="http://schemas.openxmlformats.org/officeDocument/2006/customXml" ds:itemID="{2169B5A5-BB37-4AE8-9AE8-DB60D0BE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8380</Words>
  <Characters>45253</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SAAD GALLOTTI BONAVIDES</dc:creator>
  <dc:description/>
  <cp:lastModifiedBy>Servidores</cp:lastModifiedBy>
  <cp:revision>2</cp:revision>
  <dcterms:created xsi:type="dcterms:W3CDTF">2023-07-01T02:26:00Z</dcterms:created>
  <dcterms:modified xsi:type="dcterms:W3CDTF">2023-07-01T02:26:00Z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0x010100A3B972F17E65BE46A017A9F07B648667</vt:lpwstr>
  </property>
</Properties>
</file>